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57BE" w14:textId="77777777" w:rsidR="00CB6929" w:rsidRPr="00CB6929" w:rsidRDefault="00CB6929" w:rsidP="00CB6929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kern w:val="0"/>
          <w:sz w:val="25"/>
          <w:szCs w:val="25"/>
          <w:lang w:eastAsia="hr-HR"/>
          <w14:ligatures w14:val="none"/>
        </w:rPr>
      </w:pPr>
      <w:r w:rsidRPr="00CB6929">
        <w:rPr>
          <w:rFonts w:ascii="Verdana" w:eastAsia="Times New Roman" w:hAnsi="Verdana" w:cs="Times New Roman"/>
          <w:color w:val="333333"/>
          <w:kern w:val="0"/>
          <w:sz w:val="25"/>
          <w:szCs w:val="25"/>
          <w:lang w:eastAsia="hr-HR"/>
          <w14:ligatures w14:val="none"/>
        </w:rPr>
        <w:t>Data Exchange</w:t>
      </w:r>
    </w:p>
    <w:p w14:paraId="3F99EA7E" w14:textId="77777777" w:rsidR="00CB6929" w:rsidRPr="00CB6929" w:rsidRDefault="00CB6929" w:rsidP="00CB6929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r w:rsidRPr="00CB6929">
        <w:rPr>
          <w:rFonts w:ascii="Verdana" w:eastAsia="Times New Roman" w:hAnsi="Verdana" w:cs="Times New Roman"/>
          <w:color w:val="666666"/>
          <w:kern w:val="0"/>
          <w:sz w:val="15"/>
          <w:szCs w:val="15"/>
          <w:lang w:eastAsia="hr-HR"/>
          <w14:ligatures w14:val="none"/>
        </w:rPr>
        <w:t>28.07.15</w:t>
      </w:r>
    </w:p>
    <w:p w14:paraId="0EC5AEC8" w14:textId="77777777" w:rsidR="00CB6929" w:rsidRPr="00CB6929" w:rsidRDefault="00CB6929" w:rsidP="00CB6929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The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access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to data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contained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in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registers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maintained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by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IDDEEA on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behalf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of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the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source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authorities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is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carried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out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in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accordance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with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the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Rulebook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on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Manner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 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of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Access to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Registers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and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Data Exchange (“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Official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Gazette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of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BiH”, </w:t>
      </w:r>
      <w:hyperlink r:id="rId5" w:history="1"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35/09</w:t>
        </w:r>
      </w:hyperlink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, </w:t>
      </w:r>
      <w:hyperlink r:id="rId6" w:tgtFrame="_blank" w:history="1"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55/15</w:t>
        </w:r>
      </w:hyperlink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).</w:t>
      </w:r>
    </w:p>
    <w:p w14:paraId="50CEDB50" w14:textId="77777777" w:rsidR="00CB6929" w:rsidRPr="00CB6929" w:rsidRDefault="00CB6929" w:rsidP="00CB6929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The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data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maintained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by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the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Agency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may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be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accessed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as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follows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:</w:t>
      </w:r>
    </w:p>
    <w:p w14:paraId="2AC06FCB" w14:textId="77777777" w:rsidR="00CB6929" w:rsidRPr="00CB6929" w:rsidRDefault="00CB6929" w:rsidP="00CB6929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•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by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periodical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data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access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and</w:t>
      </w:r>
      <w:proofErr w:type="spellEnd"/>
    </w:p>
    <w:p w14:paraId="338D8F85" w14:textId="77777777" w:rsidR="00CB6929" w:rsidRPr="00CB6929" w:rsidRDefault="00CB6929" w:rsidP="00CB6929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•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by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permanent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data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access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.</w:t>
      </w:r>
    </w:p>
    <w:p w14:paraId="58C7B3D0" w14:textId="77777777" w:rsidR="00CB6929" w:rsidRPr="00CB6929" w:rsidRDefault="00CB6929" w:rsidP="00CB6929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proofErr w:type="spellStart"/>
      <w:r w:rsidRPr="00CB6929">
        <w:rPr>
          <w:rFonts w:ascii="Arial" w:eastAsia="Times New Roman" w:hAnsi="Arial" w:cs="Arial"/>
          <w:b/>
          <w:bCs/>
          <w:color w:val="0C0C0E"/>
          <w:kern w:val="0"/>
          <w:sz w:val="20"/>
          <w:szCs w:val="20"/>
          <w:lang w:eastAsia="hr-HR"/>
          <w14:ligatures w14:val="none"/>
        </w:rPr>
        <w:t>Periodical</w:t>
      </w:r>
      <w:proofErr w:type="spellEnd"/>
      <w:r w:rsidRPr="00CB6929">
        <w:rPr>
          <w:rFonts w:ascii="Arial" w:eastAsia="Times New Roman" w:hAnsi="Arial" w:cs="Arial"/>
          <w:b/>
          <w:bCs/>
          <w:color w:val="0C0C0E"/>
          <w:kern w:val="0"/>
          <w:sz w:val="20"/>
          <w:szCs w:val="20"/>
          <w:lang w:eastAsia="hr-HR"/>
          <w14:ligatures w14:val="none"/>
        </w:rPr>
        <w:t xml:space="preserve"> data </w:t>
      </w:r>
      <w:proofErr w:type="spellStart"/>
      <w:r w:rsidRPr="00CB6929">
        <w:rPr>
          <w:rFonts w:ascii="Arial" w:eastAsia="Times New Roman" w:hAnsi="Arial" w:cs="Arial"/>
          <w:b/>
          <w:bCs/>
          <w:color w:val="0C0C0E"/>
          <w:kern w:val="0"/>
          <w:sz w:val="20"/>
          <w:szCs w:val="20"/>
          <w:lang w:eastAsia="hr-HR"/>
          <w14:ligatures w14:val="none"/>
        </w:rPr>
        <w:t>access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 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means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that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the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applicant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may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request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specific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data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from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the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Agency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at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specific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time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intervals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.</w:t>
      </w:r>
    </w:p>
    <w:p w14:paraId="004A0BE2" w14:textId="77777777" w:rsidR="00CB6929" w:rsidRPr="00CB6929" w:rsidRDefault="00CB6929" w:rsidP="00CB692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hyperlink r:id="rId7" w:history="1">
        <w:proofErr w:type="spellStart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The</w:t>
        </w:r>
        <w:proofErr w:type="spellEnd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request</w:t>
        </w:r>
        <w:proofErr w:type="spellEnd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form</w:t>
        </w:r>
        <w:proofErr w:type="spellEnd"/>
      </w:hyperlink>
    </w:p>
    <w:p w14:paraId="33B67DFF" w14:textId="77777777" w:rsidR="00CB6929" w:rsidRPr="00CB6929" w:rsidRDefault="00CB6929" w:rsidP="00CB692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97" w:lineRule="atLeast"/>
        <w:rPr>
          <w:rFonts w:ascii="Arial" w:eastAsia="Times New Roman" w:hAnsi="Arial" w:cs="Arial"/>
          <w:color w:val="006699"/>
          <w:kern w:val="0"/>
          <w:sz w:val="20"/>
          <w:szCs w:val="20"/>
          <w:u w:val="single"/>
          <w:lang w:eastAsia="hr-HR"/>
          <w14:ligatures w14:val="none"/>
        </w:rPr>
      </w:pPr>
      <w:hyperlink r:id="rId8" w:tgtFrame="_blank" w:history="1">
        <w:proofErr w:type="spellStart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Instructions</w:t>
        </w:r>
        <w:proofErr w:type="spellEnd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for </w:t>
        </w:r>
        <w:proofErr w:type="spellStart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applying</w:t>
        </w:r>
        <w:proofErr w:type="spellEnd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for </w:t>
        </w:r>
        <w:proofErr w:type="spellStart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periodical</w:t>
        </w:r>
        <w:proofErr w:type="spellEnd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access</w:t>
        </w:r>
        <w:proofErr w:type="spellEnd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to data </w:t>
        </w:r>
        <w:proofErr w:type="spellStart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from</w:t>
        </w:r>
        <w:proofErr w:type="spellEnd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regiters</w:t>
        </w:r>
        <w:proofErr w:type="spellEnd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maintained</w:t>
        </w:r>
        <w:proofErr w:type="spellEnd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by</w:t>
        </w:r>
        <w:proofErr w:type="spellEnd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IDDEEA on </w:t>
        </w:r>
        <w:proofErr w:type="spellStart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behalf</w:t>
        </w:r>
        <w:proofErr w:type="spellEnd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of</w:t>
        </w:r>
        <w:proofErr w:type="spellEnd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the</w:t>
        </w:r>
        <w:proofErr w:type="spellEnd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source</w:t>
        </w:r>
        <w:proofErr w:type="spellEnd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authorities</w:t>
        </w:r>
        <w:proofErr w:type="spellEnd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by</w:t>
        </w:r>
        <w:proofErr w:type="spellEnd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IDDEEA</w:t>
        </w:r>
      </w:hyperlink>
    </w:p>
    <w:p w14:paraId="7B0C6F82" w14:textId="77777777" w:rsidR="00CB6929" w:rsidRPr="00CB6929" w:rsidRDefault="00CB6929" w:rsidP="00CB692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hyperlink r:id="rId9" w:history="1">
        <w:proofErr w:type="spellStart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Decision</w:t>
        </w:r>
        <w:proofErr w:type="spellEnd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on </w:t>
        </w:r>
        <w:proofErr w:type="spellStart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the</w:t>
        </w:r>
        <w:proofErr w:type="spellEnd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amount</w:t>
        </w:r>
        <w:proofErr w:type="spellEnd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of</w:t>
        </w:r>
        <w:proofErr w:type="spellEnd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fees</w:t>
        </w:r>
        <w:proofErr w:type="spellEnd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to </w:t>
        </w:r>
        <w:proofErr w:type="spellStart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access</w:t>
        </w:r>
        <w:proofErr w:type="spellEnd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data </w:t>
        </w:r>
        <w:proofErr w:type="spellStart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contqained</w:t>
        </w:r>
        <w:proofErr w:type="spellEnd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in</w:t>
        </w:r>
        <w:proofErr w:type="spellEnd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IDDEEA </w:t>
        </w:r>
        <w:proofErr w:type="spellStart"/>
        <w:r w:rsidRPr="00CB692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registers</w:t>
        </w:r>
        <w:proofErr w:type="spellEnd"/>
      </w:hyperlink>
    </w:p>
    <w:p w14:paraId="271ECE95" w14:textId="77777777" w:rsidR="00CB6929" w:rsidRPr="00CB6929" w:rsidRDefault="00CB6929" w:rsidP="00CB6929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proofErr w:type="spellStart"/>
      <w:r w:rsidRPr="00CB6929">
        <w:rPr>
          <w:rFonts w:ascii="Arial" w:eastAsia="Times New Roman" w:hAnsi="Arial" w:cs="Arial"/>
          <w:b/>
          <w:bCs/>
          <w:color w:val="0C0C0E"/>
          <w:kern w:val="0"/>
          <w:sz w:val="20"/>
          <w:szCs w:val="20"/>
          <w:lang w:eastAsia="hr-HR"/>
          <w14:ligatures w14:val="none"/>
        </w:rPr>
        <w:t>Permanent</w:t>
      </w:r>
      <w:proofErr w:type="spellEnd"/>
      <w:r w:rsidRPr="00CB6929">
        <w:rPr>
          <w:rFonts w:ascii="Arial" w:eastAsia="Times New Roman" w:hAnsi="Arial" w:cs="Arial"/>
          <w:b/>
          <w:bCs/>
          <w:color w:val="0C0C0E"/>
          <w:kern w:val="0"/>
          <w:sz w:val="20"/>
          <w:szCs w:val="20"/>
          <w:lang w:eastAsia="hr-HR"/>
          <w14:ligatures w14:val="none"/>
        </w:rPr>
        <w:t xml:space="preserve"> data </w:t>
      </w:r>
      <w:proofErr w:type="spellStart"/>
      <w:r w:rsidRPr="00CB6929">
        <w:rPr>
          <w:rFonts w:ascii="Arial" w:eastAsia="Times New Roman" w:hAnsi="Arial" w:cs="Arial"/>
          <w:b/>
          <w:bCs/>
          <w:color w:val="0C0C0E"/>
          <w:kern w:val="0"/>
          <w:sz w:val="20"/>
          <w:szCs w:val="20"/>
          <w:lang w:eastAsia="hr-HR"/>
          <w14:ligatures w14:val="none"/>
        </w:rPr>
        <w:t>access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 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implies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the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existence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of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a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permanent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communication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link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through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which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the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applicant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can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at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any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time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access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the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data for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which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he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has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obtained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a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permission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 xml:space="preserve"> for </w:t>
      </w:r>
      <w:proofErr w:type="spellStart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access</w:t>
      </w:r>
      <w:proofErr w:type="spellEnd"/>
      <w:r w:rsidRPr="00CB6929">
        <w:rPr>
          <w:rFonts w:ascii="Arial" w:eastAsia="Times New Roman" w:hAnsi="Arial" w:cs="Arial"/>
          <w:color w:val="0C0C0E"/>
          <w:kern w:val="0"/>
          <w:sz w:val="20"/>
          <w:szCs w:val="20"/>
          <w:lang w:eastAsia="hr-HR"/>
          <w14:ligatures w14:val="none"/>
        </w:rPr>
        <w:t>. </w:t>
      </w:r>
    </w:p>
    <w:p w14:paraId="61DA5665" w14:textId="77777777" w:rsidR="008A62DE" w:rsidRDefault="008A62DE"/>
    <w:sectPr w:rsidR="008A6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039"/>
    <w:multiLevelType w:val="multilevel"/>
    <w:tmpl w:val="F6F0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44463"/>
    <w:multiLevelType w:val="multilevel"/>
    <w:tmpl w:val="7510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A1CC2"/>
    <w:multiLevelType w:val="multilevel"/>
    <w:tmpl w:val="E862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0D0C00"/>
    <w:multiLevelType w:val="multilevel"/>
    <w:tmpl w:val="3DF6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4D1326"/>
    <w:multiLevelType w:val="multilevel"/>
    <w:tmpl w:val="A866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B31B10"/>
    <w:multiLevelType w:val="multilevel"/>
    <w:tmpl w:val="F4DE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61245B"/>
    <w:multiLevelType w:val="multilevel"/>
    <w:tmpl w:val="F40C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4243E0"/>
    <w:multiLevelType w:val="multilevel"/>
    <w:tmpl w:val="4EC0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3434E8"/>
    <w:multiLevelType w:val="multilevel"/>
    <w:tmpl w:val="EEDC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AF2229"/>
    <w:multiLevelType w:val="multilevel"/>
    <w:tmpl w:val="7E82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032637"/>
    <w:multiLevelType w:val="multilevel"/>
    <w:tmpl w:val="AC6A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352894">
    <w:abstractNumId w:val="5"/>
  </w:num>
  <w:num w:numId="2" w16cid:durableId="1838227907">
    <w:abstractNumId w:val="7"/>
  </w:num>
  <w:num w:numId="3" w16cid:durableId="1632906363">
    <w:abstractNumId w:val="0"/>
  </w:num>
  <w:num w:numId="4" w16cid:durableId="1469396880">
    <w:abstractNumId w:val="4"/>
  </w:num>
  <w:num w:numId="5" w16cid:durableId="239295652">
    <w:abstractNumId w:val="1"/>
  </w:num>
  <w:num w:numId="6" w16cid:durableId="1323125848">
    <w:abstractNumId w:val="10"/>
  </w:num>
  <w:num w:numId="7" w16cid:durableId="260189138">
    <w:abstractNumId w:val="9"/>
  </w:num>
  <w:num w:numId="8" w16cid:durableId="1318069913">
    <w:abstractNumId w:val="6"/>
  </w:num>
  <w:num w:numId="9" w16cid:durableId="219827235">
    <w:abstractNumId w:val="8"/>
  </w:num>
  <w:num w:numId="10" w16cid:durableId="738865754">
    <w:abstractNumId w:val="3"/>
  </w:num>
  <w:num w:numId="11" w16cid:durableId="179008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C9"/>
    <w:rsid w:val="00252EBB"/>
    <w:rsid w:val="0026040A"/>
    <w:rsid w:val="00314FC9"/>
    <w:rsid w:val="0035028D"/>
    <w:rsid w:val="005C2244"/>
    <w:rsid w:val="00604222"/>
    <w:rsid w:val="008A62DE"/>
    <w:rsid w:val="009E4074"/>
    <w:rsid w:val="00CB6929"/>
    <w:rsid w:val="00D7629B"/>
    <w:rsid w:val="00E334B6"/>
    <w:rsid w:val="00E90543"/>
    <w:rsid w:val="00EF7521"/>
    <w:rsid w:val="00F1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50BCA-1750-49A9-94EE-B3D242EF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2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30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50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deea.gov.ba/images/stories/PDF/Pristup_evidencijama_i_razmjena_podataka/Instrukcija_Mart_2017/2023_05_03_InstrukcijaAT_bos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ddeea.gov.ba/images/stories/PDF/Pristup_evidencijama_i_razmjena_podataka/Instrukcija/Form%20Nr.%201-eng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deea.gov.ba/images/stories/PDF/laws/bylaws/engleski/AmendmentsRulebookRegisterAccessDataExchange_55-15_eng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ddeea.gov.ba/images/stories/PDF/laws/rulebook_on_manner_of_access_to_registers_and_data_exchange_35_09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ddeea.gov.ba/images/stories/PDF/Pristup_evidencijama_i_razmjena_podataka/Odluka/Decision_43-10_e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Kokorus</dc:creator>
  <cp:keywords/>
  <dc:description/>
  <cp:lastModifiedBy>Sandra Kokorus</cp:lastModifiedBy>
  <cp:revision>3</cp:revision>
  <dcterms:created xsi:type="dcterms:W3CDTF">2023-07-17T11:35:00Z</dcterms:created>
  <dcterms:modified xsi:type="dcterms:W3CDTF">2023-07-17T11:36:00Z</dcterms:modified>
</cp:coreProperties>
</file>