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4" w:rsidRPr="00230A84" w:rsidRDefault="00230A84" w:rsidP="00230A84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230A84">
        <w:rPr>
          <w:rFonts w:ascii="Verdana" w:eastAsia="Times New Roman" w:hAnsi="Verdana" w:cs="Times New Roman"/>
          <w:color w:val="333333"/>
          <w:sz w:val="25"/>
          <w:szCs w:val="25"/>
        </w:rPr>
        <w:t>Електронска</w:t>
      </w:r>
      <w:proofErr w:type="spellEnd"/>
      <w:r w:rsidRPr="00230A84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230A84">
        <w:rPr>
          <w:rFonts w:ascii="Verdana" w:eastAsia="Times New Roman" w:hAnsi="Verdana" w:cs="Times New Roman"/>
          <w:color w:val="333333"/>
          <w:sz w:val="25"/>
          <w:szCs w:val="25"/>
        </w:rPr>
        <w:t>лична</w:t>
      </w:r>
      <w:proofErr w:type="spellEnd"/>
      <w:r w:rsidRPr="00230A84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230A84">
        <w:rPr>
          <w:rFonts w:ascii="Verdana" w:eastAsia="Times New Roman" w:hAnsi="Verdana" w:cs="Times New Roman"/>
          <w:color w:val="333333"/>
          <w:sz w:val="25"/>
          <w:szCs w:val="25"/>
        </w:rPr>
        <w:t>карта</w:t>
      </w:r>
      <w:proofErr w:type="spellEnd"/>
      <w:r w:rsidRPr="00230A84">
        <w:rPr>
          <w:rFonts w:ascii="Verdana" w:eastAsia="Times New Roman" w:hAnsi="Verdana" w:cs="Times New Roman"/>
          <w:color w:val="333333"/>
          <w:sz w:val="25"/>
          <w:szCs w:val="25"/>
        </w:rPr>
        <w:t xml:space="preserve"> - </w:t>
      </w:r>
      <w:proofErr w:type="spellStart"/>
      <w:r w:rsidRPr="00230A84">
        <w:rPr>
          <w:rFonts w:ascii="Verdana" w:eastAsia="Times New Roman" w:hAnsi="Verdana" w:cs="Times New Roman"/>
          <w:color w:val="333333"/>
          <w:sz w:val="25"/>
          <w:szCs w:val="25"/>
        </w:rPr>
        <w:t>еЛК</w:t>
      </w:r>
      <w:proofErr w:type="spellEnd"/>
    </w:p>
    <w:p w:rsidR="00230A84" w:rsidRPr="00230A84" w:rsidRDefault="00230A84" w:rsidP="00230A8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Verdana" w:eastAsia="Times New Roman" w:hAnsi="Verdana" w:cs="Times New Roman"/>
          <w:color w:val="666666"/>
          <w:sz w:val="15"/>
          <w:szCs w:val="15"/>
        </w:rPr>
        <w:t>28.05.13</w:t>
      </w:r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идентификациони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документ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држављана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Босне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Херцеговине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Електронска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почела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издавати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1.3.2013.</w:t>
      </w:r>
      <w:proofErr w:type="gram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године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,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складу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Законом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о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личној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држављана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Босне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Херцеговине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(„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Сл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гласник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“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бр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 </w:t>
      </w:r>
      <w:hyperlink r:id="rId5" w:tgtFrame="_blank" w:history="1">
        <w:r w:rsidRPr="00230A84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32/01</w:t>
        </w:r>
      </w:hyperlink>
      <w:r w:rsidRPr="00230A84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6" w:tgtFrame="_blank" w:history="1">
        <w:r w:rsidRPr="00230A84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16/02</w:t>
        </w:r>
      </w:hyperlink>
      <w:r w:rsidRPr="00230A84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7" w:tgtFrame="_blank" w:history="1">
        <w:r w:rsidRPr="00230A84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32/07</w:t>
        </w:r>
      </w:hyperlink>
      <w:r w:rsidRPr="00230A84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8" w:tgtFrame="_blank" w:history="1">
        <w:r w:rsidRPr="00230A84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53/07</w:t>
        </w:r>
      </w:hyperlink>
      <w:r w:rsidRPr="00230A84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9" w:tgtFrame="_blank" w:history="1">
        <w:r w:rsidRPr="00230A84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56/08</w:t>
        </w:r>
      </w:hyperlink>
      <w:r w:rsidRPr="00230A84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10" w:tgtFrame="_blank" w:history="1">
        <w:r w:rsidRPr="00230A84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18/12</w:t>
        </w:r>
      </w:hyperlink>
      <w:r w:rsidRPr="00230A84">
        <w:rPr>
          <w:rFonts w:ascii="Arial" w:eastAsia="Times New Roman" w:hAnsi="Arial" w:cs="Arial"/>
          <w:color w:val="333333"/>
          <w:sz w:val="20"/>
          <w:szCs w:val="20"/>
        </w:rPr>
        <w:t>).</w:t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Издавање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,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поништавање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замјену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личних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карата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оквиру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своје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надлежности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Федерацији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БиХ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врше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кантонална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министарства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унутрашњих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послова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, у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Републици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Српској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Министарство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унутрашњих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послова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Републике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Српске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и у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Брчко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дистрикту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Босне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Херцеговине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надлежни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орган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који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функционално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дјелује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као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државна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институција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>, 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према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мјесту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пребивалишта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држављана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Босне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0C0C0E"/>
          <w:sz w:val="20"/>
          <w:szCs w:val="20"/>
        </w:rPr>
        <w:t>Херцеговине</w:t>
      </w:r>
      <w:proofErr w:type="spellEnd"/>
      <w:r w:rsidRPr="00230A84">
        <w:rPr>
          <w:rFonts w:ascii="Arial" w:eastAsia="Times New Roman" w:hAnsi="Arial" w:cs="Arial"/>
          <w:color w:val="0C0C0E"/>
          <w:sz w:val="20"/>
          <w:szCs w:val="20"/>
        </w:rPr>
        <w:t>.</w:t>
      </w:r>
      <w:proofErr w:type="gramEnd"/>
      <w:r w:rsidRPr="00230A84">
        <w:rPr>
          <w:rFonts w:ascii="Arial" w:eastAsia="Times New Roman" w:hAnsi="Arial" w:cs="Arial"/>
          <w:color w:val="0C0C0E"/>
          <w:sz w:val="20"/>
          <w:szCs w:val="20"/>
        </w:rPr>
        <w:t> </w:t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јавна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исправа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којом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доказује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идентитет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чињеница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мјеста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датума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рођења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пребивалишта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односно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боравишта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расељено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лице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држављанства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Држављани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могу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користити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прелазак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државне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границе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одређеним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околностима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случајевима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када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има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билатерални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споразум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другом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државом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:rsidR="00230A84" w:rsidRPr="00230A84" w:rsidRDefault="00230A84" w:rsidP="00230A8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color w:val="333333"/>
          <w:sz w:val="20"/>
          <w:szCs w:val="20"/>
        </w:rPr>
        <w:t>          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716405" cy="1057275"/>
            <wp:effectExtent l="0" t="0" r="0" b="9525"/>
            <wp:docPr id="3" name="Picture 3" descr="LK pre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 predn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          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716405" cy="1067435"/>
            <wp:effectExtent l="0" t="0" r="0" b="0"/>
            <wp:docPr id="2" name="Picture 2" descr="LK za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 zadn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color w:val="333333"/>
          <w:sz w:val="20"/>
          <w:szCs w:val="20"/>
        </w:rPr>
        <w:t>                          </w:t>
      </w:r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НАЈВЕЋИ СТЕПЕН БЕЗБЈЕДНОСНИХ МЈЕРА ЗА ИДЕНТИФИКАЦИЈУ ГРАЂАНА БОСНЕ И ХЕРЦЕГОВИНЕ</w:t>
      </w:r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Нова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електронска</w:t>
      </w:r>
      <w:proofErr w:type="spellEnd"/>
      <w:proofErr w:type="gram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пружа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највеће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мјере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заштите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података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своје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грађане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Помоћу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разних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безбједносних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елемената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свако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провјери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валидност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овог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документа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Сви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елементи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могу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бити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верификовани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помоћу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разних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чула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иуређаја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НАЈСАВРЕМЕНИЈА ТЕХНОЛОГИЈА ИДЕНТИФИКАЦИЈЕ</w:t>
      </w:r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Босна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Херцеговина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издаје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нову</w:t>
      </w:r>
      <w:proofErr w:type="spellEnd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електронску</w:t>
      </w:r>
      <w:proofErr w:type="spellEnd"/>
      <w:proofErr w:type="gram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све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своје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грађане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Слика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носиоца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нових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електронских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карата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персонализована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помоћу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најсавременије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технологије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слике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боји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личним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документима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Комплетни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подаци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носиоца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име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мјесто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датум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рођења</w:t>
      </w:r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,као</w:t>
      </w:r>
      <w:proofErr w:type="spellEnd"/>
      <w:proofErr w:type="gram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посебна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машински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читљива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зона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угравирани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ласерским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системом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Поред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тога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сви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подаци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о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носиоцу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сачувани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чип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модулом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дигиталној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најбезбједнијој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форми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Чип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модул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антена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налазе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унутар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саме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картице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БЕЗБЈЕДНОСНИ ЕЛЕМЕНТИ</w:t>
      </w:r>
      <w:proofErr w:type="gramStart"/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 ЕЛЕКТРОНСКЕ</w:t>
      </w:r>
      <w:proofErr w:type="gramEnd"/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ЛИЧНЕ КАРТЕ</w:t>
      </w:r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2360295" cy="2237740"/>
            <wp:effectExtent l="0" t="0" r="1905" b="0"/>
            <wp:docPr id="1" name="Picture 1" descr="slikasigu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sigur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1. БЕЗБИЈЕДНОСНА ПОЗАДИНА</w:t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Позадина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картице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састоји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посебних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безбиједносних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елемената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танких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линија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микротекста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других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уникатних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облика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умјетности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цртежa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УЛТРАЉУБИЧАСТА ФЛУОРЕСЦЕНТНА СЛИКА </w:t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Посебан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безбиједносни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елемент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који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састоји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танких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линија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микротекста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који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свијетли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жутој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боји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када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картица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стави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под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UV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свјетло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3. ХОЛОГРАМСКИ ЕЛЕМЕНТ</w:t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Овај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елемент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преклапа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фотографију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портрета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 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мијења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изглед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зависности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од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угла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посматрања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4. ЕМБОСИРАЊЕ ПОВРШИНЕ </w:t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Узорак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звијезда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микротекста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видљиво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утиснут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предњој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страни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картице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5. СЕКУНДАРНА ФОТОГРАФИЈА</w:t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Секундарна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полутранспарентна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фотографија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носиоца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заштићена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безбиједносном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позадином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површинским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утискивањем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ембосирањем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6. ВАРИЈАЦИЈА БОЈА </w:t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Јединствена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боја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облику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троугла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трансформише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магенте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зелену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боју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 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зависности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коjeг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угла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посматра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7. ШТАМПА ДУГИНИМ БОЈАМА </w:t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Боја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позадине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лагано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мијења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жуте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у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сиву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боју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30A84" w:rsidRPr="00230A84" w:rsidRDefault="00230A84" w:rsidP="00230A84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0A84">
        <w:rPr>
          <w:rFonts w:ascii="Arial" w:eastAsia="Times New Roman" w:hAnsi="Arial" w:cs="Arial"/>
          <w:b/>
          <w:bCs/>
          <w:color w:val="333333"/>
          <w:sz w:val="20"/>
          <w:szCs w:val="20"/>
        </w:rPr>
        <w:t>8. ТАКТИЛНO УГРАВИРАНИ ДАТУМ ИСТЕКА ВАЖЕЊА</w:t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Датум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истека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важења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осјетити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чулом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додира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Бројеви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су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угравирани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230A84" w:rsidRPr="00230A84" w:rsidRDefault="00230A84" w:rsidP="00230A8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Брошура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о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електронској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личној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карти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доступна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230A84">
        <w:rPr>
          <w:rFonts w:ascii="Arial" w:eastAsia="Times New Roman" w:hAnsi="Arial" w:cs="Arial"/>
          <w:color w:val="333333"/>
          <w:sz w:val="20"/>
          <w:szCs w:val="20"/>
        </w:rPr>
        <w:t>је</w:t>
      </w:r>
      <w:proofErr w:type="spellEnd"/>
      <w:r w:rsidRPr="00230A84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230A84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230A84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"https://www.iddeea.gov.ba/images/stories/PDF/Brosure/eLK_brosura.pdf" </w:instrText>
      </w:r>
      <w:r w:rsidRPr="00230A84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230A84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овдје</w:t>
      </w:r>
      <w:proofErr w:type="spellEnd"/>
      <w:r w:rsidRPr="00230A84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230A84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AD"/>
    <w:rsid w:val="00230A84"/>
    <w:rsid w:val="0044711C"/>
    <w:rsid w:val="00737BA1"/>
    <w:rsid w:val="008265AD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0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0A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230A84"/>
  </w:style>
  <w:style w:type="paragraph" w:styleId="NormalWeb">
    <w:name w:val="Normal (Web)"/>
    <w:basedOn w:val="Normal"/>
    <w:uiPriority w:val="99"/>
    <w:semiHidden/>
    <w:unhideWhenUsed/>
    <w:rsid w:val="002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0A84"/>
    <w:rPr>
      <w:color w:val="0000FF"/>
      <w:u w:val="single"/>
    </w:rPr>
  </w:style>
  <w:style w:type="character" w:customStyle="1" w:styleId="modal">
    <w:name w:val="modal"/>
    <w:basedOn w:val="DefaultParagraphFont"/>
    <w:rsid w:val="00230A84"/>
  </w:style>
  <w:style w:type="character" w:styleId="Strong">
    <w:name w:val="Strong"/>
    <w:basedOn w:val="DefaultParagraphFont"/>
    <w:uiPriority w:val="22"/>
    <w:qFormat/>
    <w:rsid w:val="00230A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0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0A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230A84"/>
  </w:style>
  <w:style w:type="paragraph" w:styleId="NormalWeb">
    <w:name w:val="Normal (Web)"/>
    <w:basedOn w:val="Normal"/>
    <w:uiPriority w:val="99"/>
    <w:semiHidden/>
    <w:unhideWhenUsed/>
    <w:rsid w:val="002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0A84"/>
    <w:rPr>
      <w:color w:val="0000FF"/>
      <w:u w:val="single"/>
    </w:rPr>
  </w:style>
  <w:style w:type="character" w:customStyle="1" w:styleId="modal">
    <w:name w:val="modal"/>
    <w:basedOn w:val="DefaultParagraphFont"/>
    <w:rsid w:val="00230A84"/>
  </w:style>
  <w:style w:type="character" w:styleId="Strong">
    <w:name w:val="Strong"/>
    <w:basedOn w:val="DefaultParagraphFont"/>
    <w:uiPriority w:val="22"/>
    <w:qFormat/>
    <w:rsid w:val="00230A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laws/srpski/odluka_kojom_se_donosi_zakon_o_izmjenama_i_dopunama_zakona_o_lk_srp.pdf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laws/srpski/zakon_o_usvajanju_zakona_o_izmjenama_i_dopunama_zakona_o_licnoj_karti_drzavljana_bih_32_07_srp.pdf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laws/srpski/odluka_visokog_predstavnika_o_izmjenama_i_dopunama_zakona_o_licnoj_karti_drzavljana_bih_16_02_srp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iddeea.gov.ba/images/stories/PDF/laws/srpski/zakon_o_licnoj_karti_drzavljana_bih_32_01_srp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ddeea.gov.ba/images/stories/PDF/laws/srpski/zakon%20o%20izmjenama%20i%20dopunama%20zakona%20o%20licnoj%20karti%20drzavljana%20bih_18-12_sr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laws/srpski/zakon_o_izmjenama_i_dopunama_zakona_o_licnoj_karti_drzavljana_bih_56_08_sr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3</cp:revision>
  <dcterms:created xsi:type="dcterms:W3CDTF">2023-03-29T12:00:00Z</dcterms:created>
  <dcterms:modified xsi:type="dcterms:W3CDTF">2023-03-29T12:00:00Z</dcterms:modified>
</cp:coreProperties>
</file>