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76" w:rsidRPr="009A1876" w:rsidRDefault="009A1876" w:rsidP="009A187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>Elektronička</w:t>
      </w:r>
      <w:proofErr w:type="spellEnd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>osobna</w:t>
      </w:r>
      <w:proofErr w:type="spellEnd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>iskaznica</w:t>
      </w:r>
      <w:proofErr w:type="spellEnd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 xml:space="preserve"> - </w:t>
      </w:r>
      <w:proofErr w:type="spellStart"/>
      <w:r w:rsidRPr="009A1876">
        <w:rPr>
          <w:rFonts w:ascii="Verdana" w:eastAsia="Times New Roman" w:hAnsi="Verdana" w:cs="Times New Roman"/>
          <w:color w:val="333333"/>
          <w:sz w:val="25"/>
          <w:szCs w:val="25"/>
        </w:rPr>
        <w:t>eOI</w:t>
      </w:r>
      <w:proofErr w:type="spellEnd"/>
    </w:p>
    <w:p w:rsidR="009A1876" w:rsidRPr="009A1876" w:rsidRDefault="009A1876" w:rsidP="009A18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Verdana" w:eastAsia="Times New Roman" w:hAnsi="Verdana" w:cs="Times New Roman"/>
          <w:color w:val="666666"/>
          <w:sz w:val="15"/>
          <w:szCs w:val="15"/>
        </w:rPr>
        <w:t>28.05.13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identifikacijski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dokument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državljana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Bosne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Hercegovine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Elektronička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počela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izdavati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1.3.2013.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godine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sukladno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Zakonu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državljana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Bosne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Hercegovine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(„Sl.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glasnik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BiH“ br. </w:t>
      </w:r>
      <w:hyperlink r:id="rId5" w:tgtFrame="_blank" w:history="1">
        <w:r w:rsidRPr="009A187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32/01</w:t>
        </w:r>
      </w:hyperlink>
      <w:r w:rsidRPr="009A1876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6" w:tgtFrame="_blank" w:history="1">
        <w:r w:rsidRPr="009A187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16/02</w:t>
        </w:r>
      </w:hyperlink>
      <w:r w:rsidRPr="009A1876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7" w:tgtFrame="_blank" w:history="1">
        <w:r w:rsidRPr="009A187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32/07</w:t>
        </w:r>
      </w:hyperlink>
      <w:r w:rsidRPr="009A1876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8" w:tgtFrame="_blank" w:history="1">
        <w:r w:rsidRPr="009A187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53/07</w:t>
        </w:r>
      </w:hyperlink>
      <w:r w:rsidRPr="009A1876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9" w:tgtFrame="_blank" w:history="1">
        <w:r w:rsidRPr="009A187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56/08</w:t>
        </w:r>
      </w:hyperlink>
      <w:r w:rsidRPr="009A1876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10" w:tgtFrame="_blank" w:history="1">
        <w:r w:rsidRPr="009A187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18/12</w:t>
        </w:r>
      </w:hyperlink>
      <w:r w:rsidRPr="009A1876">
        <w:rPr>
          <w:rFonts w:ascii="Arial" w:eastAsia="Times New Roman" w:hAnsi="Arial" w:cs="Arial"/>
          <w:color w:val="333333"/>
          <w:sz w:val="20"/>
          <w:szCs w:val="20"/>
        </w:rPr>
        <w:t>).</w:t>
      </w:r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Izdavanje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poništavanje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zamjenu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osobnih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iskaznica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okviru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svoje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nadležnosti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Federaciji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BiH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vrše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kantonalna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ministarstva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unutarnjih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, u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Republici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Srpskoj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Ministarstvo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unutarnjih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Republike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Srpske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i u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Brčko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distriktu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Bosne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Hercegovine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nadležno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tijelo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koje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funkcionalno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djeluje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kao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državna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institucija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>, 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prema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mjestu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prebivališta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državljana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Bosne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0C0C0E"/>
          <w:sz w:val="20"/>
          <w:szCs w:val="20"/>
        </w:rPr>
        <w:t>Hercegovine</w:t>
      </w:r>
      <w:proofErr w:type="spellEnd"/>
      <w:r w:rsidRPr="009A1876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javna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isprava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kojom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dokazuje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identitet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činjenica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mjesta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datuma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rođenja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prebivališta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boravišta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raseljeno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lice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državljanstva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koristiti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prelazak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državne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određenim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okolnostima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slučajevima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ima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bilateralni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sporazum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drugom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državom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color w:val="333333"/>
          <w:sz w:val="20"/>
          <w:szCs w:val="20"/>
        </w:rPr>
        <w:t>         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716405" cy="1057275"/>
            <wp:effectExtent l="0" t="0" r="0" b="9525"/>
            <wp:docPr id="3" name="Picture 3" descr="LK pre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 predn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t>         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716405" cy="1067435"/>
            <wp:effectExtent l="0" t="0" r="0" b="0"/>
            <wp:docPr id="2" name="Picture 2" descr="LK za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 zadn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t>                             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NAJVEĆI STUPANJ SIGURNOSNIH MJERA ZA IDENTIFIKACIJU GRAĐANA BOSNE I HERCEGOVINE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color w:val="333333"/>
          <w:sz w:val="20"/>
          <w:szCs w:val="20"/>
        </w:rPr>
        <w:t>Nova</w:t>
      </w:r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bh</w:t>
      </w:r>
      <w:proofErr w:type="spellEnd"/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elektronička</w:t>
      </w:r>
      <w:proofErr w:type="spellEnd"/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pruža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najveće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mjere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zaštite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posataka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podataka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svoje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građane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svatko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provjeri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validnost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ovog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dokumenta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elementi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biti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verificirani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čula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uređaja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NAJSUVREMENIJA TEHNOLOGIJA IDENTIFIKACIJE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Bosna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Hercegovina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izdaje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novu</w:t>
      </w:r>
      <w:proofErr w:type="spellEnd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elektroničku</w:t>
      </w:r>
      <w:proofErr w:type="spellEnd"/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svoje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građane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Slika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nositelja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novih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elektroničkih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personalizirana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najsuvremenije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tehnologije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slike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osobnim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dokumentima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Kompletni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nositelja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ime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mjesto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datum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rođenja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posebna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strojno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čitljiva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zona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laserskim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sustavom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Pored toga,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nositelju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sačuvani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modulom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digitalnoj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najsigurnijoj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formi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modul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antena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nalaze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unutar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same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SIGURNOSNI ELEMENTI</w:t>
      </w:r>
      <w:proofErr w:type="gramStart"/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  ELEKTRONIČKE</w:t>
      </w:r>
      <w:proofErr w:type="gramEnd"/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OSOBNE ISKAZNICE</w:t>
      </w:r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360295" cy="2237740"/>
            <wp:effectExtent l="0" t="0" r="1905" b="0"/>
            <wp:docPr id="1" name="Picture 1" descr="slikasig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sigur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1. SIGURNOSNA POZADINA -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Pozadina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posebnih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drugih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unikatnih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oblika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umjetnosti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crteža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ULTRALJUBIČASTA FLUORESCENTNA SLIKA -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Poseban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sigurnosni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svijetli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žutoj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kartica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stavi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pod UV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svjetlo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HOLOGRAMSKI ELEMENT -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Ovaj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preklapa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fotografiju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portreta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izgled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оvisnosti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promatranja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EMBOSIRANJE POVRŠINE -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Uzorak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zvijezda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vidljivo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utisnut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prednjoj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strani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SEKUNDARNA FOTOGRAFIJA </w:t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- Sekundarna polutransparentna fotografija nositelja osobne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zaštićena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sigurnosnom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pozadinom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površinskim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utiskivanjem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embosiranjem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6. VARIJACIJA BOJA</w:t>
      </w:r>
      <w:proofErr w:type="gramStart"/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</w:t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t>-</w:t>
      </w:r>
      <w:proofErr w:type="gram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Jedinstvena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obliku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trokuta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transformira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 magenta 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zelenu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u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kojeg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promatra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7. TISAK DUGINIM BOJAMA -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pozadine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lagano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žute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sivu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A1876" w:rsidRPr="009A1876" w:rsidRDefault="009A1876" w:rsidP="009A1876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A1876">
        <w:rPr>
          <w:rFonts w:ascii="Arial" w:eastAsia="Times New Roman" w:hAnsi="Arial" w:cs="Arial"/>
          <w:b/>
          <w:bCs/>
          <w:color w:val="333333"/>
          <w:sz w:val="20"/>
          <w:szCs w:val="20"/>
        </w:rPr>
        <w:t>8. TAKTILNO UGRAVIRANI DATUM ISTEKA VAŽENJA </w:t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- Datum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isteka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osjetiti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čulom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dodira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Brojevi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A1876" w:rsidRPr="009A1876" w:rsidRDefault="009A1876" w:rsidP="009A1876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Brošura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elektroničkoj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osobnoj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iskaznici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t>dostupna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9A1876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"https://www.iddeea.gov.ba/images/stories/PDF/Brosure/eLK_brosura.pdf" </w:instrText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9A1876">
        <w:rPr>
          <w:rFonts w:ascii="Arial" w:eastAsia="Times New Roman" w:hAnsi="Arial" w:cs="Arial"/>
          <w:color w:val="006699"/>
          <w:sz w:val="20"/>
          <w:szCs w:val="20"/>
          <w:u w:val="single"/>
        </w:rPr>
        <w:t>ovdje</w:t>
      </w:r>
      <w:proofErr w:type="spellEnd"/>
      <w:r w:rsidRPr="009A1876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9A187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6E"/>
    <w:rsid w:val="0044711C"/>
    <w:rsid w:val="00737BA1"/>
    <w:rsid w:val="00987D6E"/>
    <w:rsid w:val="009A1876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1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8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9A1876"/>
  </w:style>
  <w:style w:type="paragraph" w:styleId="NormalWeb">
    <w:name w:val="Normal (Web)"/>
    <w:basedOn w:val="Normal"/>
    <w:uiPriority w:val="99"/>
    <w:semiHidden/>
    <w:unhideWhenUsed/>
    <w:rsid w:val="009A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1876"/>
    <w:rPr>
      <w:color w:val="0000FF"/>
      <w:u w:val="single"/>
    </w:rPr>
  </w:style>
  <w:style w:type="character" w:customStyle="1" w:styleId="modal">
    <w:name w:val="modal"/>
    <w:basedOn w:val="DefaultParagraphFont"/>
    <w:rsid w:val="009A1876"/>
  </w:style>
  <w:style w:type="character" w:styleId="Strong">
    <w:name w:val="Strong"/>
    <w:basedOn w:val="DefaultParagraphFont"/>
    <w:uiPriority w:val="22"/>
    <w:qFormat/>
    <w:rsid w:val="009A1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1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8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9A1876"/>
  </w:style>
  <w:style w:type="paragraph" w:styleId="NormalWeb">
    <w:name w:val="Normal (Web)"/>
    <w:basedOn w:val="Normal"/>
    <w:uiPriority w:val="99"/>
    <w:semiHidden/>
    <w:unhideWhenUsed/>
    <w:rsid w:val="009A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1876"/>
    <w:rPr>
      <w:color w:val="0000FF"/>
      <w:u w:val="single"/>
    </w:rPr>
  </w:style>
  <w:style w:type="character" w:customStyle="1" w:styleId="modal">
    <w:name w:val="modal"/>
    <w:basedOn w:val="DefaultParagraphFont"/>
    <w:rsid w:val="009A1876"/>
  </w:style>
  <w:style w:type="character" w:styleId="Strong">
    <w:name w:val="Strong"/>
    <w:basedOn w:val="DefaultParagraphFont"/>
    <w:uiPriority w:val="22"/>
    <w:qFormat/>
    <w:rsid w:val="009A1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hrvatski/odluka_kojom_se_donosi_zakon_hrv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laws/hrvatski/zakon_o_usvajanju_zakona_o_izmjenama_i_dopunama_zakona_o_osobnoj_iskaznici_bih_32_07_hrv.pdf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laws/hrvatski/odluka_visokog_predstavnika_o_izmjenama_i_dopunama_zakona_o_osobnoj_iskaznici_drzavljana_bih_16_02_hrv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iddeea.gov.ba/images/stories/PDF/laws/hrvatski/zakon_o_osobnoj_iskaznici_drzavljana_bosne_i_hercegovine_32_01_hr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mages/stories/PDF/laws/hrvatski/zakon%20o%20izmjenama%20i%20dopunama%20zakona%20o%20osobnoj%20iskaznici%20drzavljana%20bih_18-12_hr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laws/hrvatski/zakon%20o%20osobnoj%20iskaznici%20drzavljana%20bih_56-08_hr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2023-03-29T10:19:00Z</dcterms:created>
  <dcterms:modified xsi:type="dcterms:W3CDTF">2023-03-29T10:20:00Z</dcterms:modified>
</cp:coreProperties>
</file>