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CF" w:rsidRPr="006D69CF" w:rsidRDefault="006D69CF" w:rsidP="006D69CF">
      <w:pPr>
        <w:shd w:val="clear" w:color="auto" w:fill="FFFFFF"/>
        <w:spacing w:after="0" w:line="240" w:lineRule="auto"/>
        <w:outlineLvl w:val="1"/>
        <w:rPr>
          <w:rFonts w:ascii="Verdana" w:eastAsia="Times New Roman" w:hAnsi="Verdana" w:cs="Times New Roman"/>
          <w:color w:val="333333"/>
          <w:sz w:val="25"/>
          <w:szCs w:val="25"/>
        </w:rPr>
      </w:pPr>
      <w:proofErr w:type="spellStart"/>
      <w:r w:rsidRPr="006D69CF">
        <w:rPr>
          <w:rFonts w:ascii="Verdana" w:eastAsia="Times New Roman" w:hAnsi="Verdana" w:cs="Times New Roman"/>
          <w:color w:val="333333"/>
          <w:sz w:val="25"/>
          <w:szCs w:val="25"/>
        </w:rPr>
        <w:t>Tachograph</w:t>
      </w:r>
      <w:proofErr w:type="spellEnd"/>
      <w:r w:rsidRPr="006D69CF">
        <w:rPr>
          <w:rFonts w:ascii="Verdana" w:eastAsia="Times New Roman" w:hAnsi="Verdana" w:cs="Times New Roman"/>
          <w:color w:val="333333"/>
          <w:sz w:val="25"/>
          <w:szCs w:val="25"/>
        </w:rPr>
        <w:t xml:space="preserve"> cards</w:t>
      </w:r>
    </w:p>
    <w:p w:rsidR="006D69CF" w:rsidRPr="006D69CF" w:rsidRDefault="006D69CF" w:rsidP="006D69CF">
      <w:pPr>
        <w:shd w:val="clear" w:color="auto" w:fill="FFFFFF"/>
        <w:spacing w:after="75" w:line="240" w:lineRule="auto"/>
        <w:rPr>
          <w:rFonts w:ascii="Verdana" w:eastAsia="Times New Roman" w:hAnsi="Verdana" w:cs="Times New Roman"/>
          <w:color w:val="333333"/>
          <w:sz w:val="17"/>
          <w:szCs w:val="17"/>
        </w:rPr>
      </w:pPr>
      <w:r w:rsidRPr="006D69CF">
        <w:rPr>
          <w:rFonts w:ascii="Verdana" w:eastAsia="Times New Roman" w:hAnsi="Verdana" w:cs="Times New Roman"/>
          <w:color w:val="666666"/>
          <w:sz w:val="15"/>
          <w:szCs w:val="15"/>
        </w:rPr>
        <w:t>03.11.22</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xml:space="preserve">A smart </w:t>
      </w:r>
      <w:proofErr w:type="spellStart"/>
      <w:r w:rsidRPr="006D69CF">
        <w:rPr>
          <w:rFonts w:ascii="Verdana" w:eastAsia="Times New Roman" w:hAnsi="Verdana" w:cs="Times New Roman"/>
          <w:color w:val="333333"/>
          <w:sz w:val="17"/>
          <w:szCs w:val="17"/>
        </w:rPr>
        <w:t>tachograph</w:t>
      </w:r>
      <w:proofErr w:type="spellEnd"/>
      <w:r w:rsidRPr="006D69CF">
        <w:rPr>
          <w:rFonts w:ascii="Verdana" w:eastAsia="Times New Roman" w:hAnsi="Verdana" w:cs="Times New Roman"/>
          <w:color w:val="333333"/>
          <w:sz w:val="17"/>
          <w:szCs w:val="17"/>
        </w:rPr>
        <w:t xml:space="preserve"> is the second generation of a digital </w:t>
      </w:r>
      <w:proofErr w:type="spellStart"/>
      <w:r w:rsidRPr="006D69CF">
        <w:rPr>
          <w:rFonts w:ascii="Verdana" w:eastAsia="Times New Roman" w:hAnsi="Verdana" w:cs="Times New Roman"/>
          <w:color w:val="333333"/>
          <w:sz w:val="17"/>
          <w:szCs w:val="17"/>
        </w:rPr>
        <w:t>tachograph</w:t>
      </w:r>
      <w:proofErr w:type="spellEnd"/>
      <w:r w:rsidRPr="006D69CF">
        <w:rPr>
          <w:rFonts w:ascii="Verdana" w:eastAsia="Times New Roman" w:hAnsi="Verdana" w:cs="Times New Roman"/>
          <w:color w:val="333333"/>
          <w:sz w:val="17"/>
          <w:szCs w:val="17"/>
        </w:rPr>
        <w:t xml:space="preserve"> (GEN2) as set out by Regulation  (EU) No 165/2014 of the European Parliament and of the Council of 4 February 2014 (Official Journal of the European Union, L60/1) on </w:t>
      </w:r>
      <w:proofErr w:type="spellStart"/>
      <w:r w:rsidRPr="006D69CF">
        <w:rPr>
          <w:rFonts w:ascii="Verdana" w:eastAsia="Times New Roman" w:hAnsi="Verdana" w:cs="Times New Roman"/>
          <w:color w:val="333333"/>
          <w:sz w:val="17"/>
          <w:szCs w:val="17"/>
        </w:rPr>
        <w:t>tachographs</w:t>
      </w:r>
      <w:proofErr w:type="spellEnd"/>
      <w:r w:rsidRPr="006D69CF">
        <w:rPr>
          <w:rFonts w:ascii="Verdana" w:eastAsia="Times New Roman" w:hAnsi="Verdana" w:cs="Times New Roman"/>
          <w:color w:val="333333"/>
          <w:sz w:val="17"/>
          <w:szCs w:val="17"/>
        </w:rPr>
        <w:t xml:space="preserve"> used in road transport (hereinafter: the Regulation) and Regulation (EU) No 2020/1054 of the European Parliament and of the Council of 15 July 2020 amending Regulation (EC) No 561/2006 and Regulation (EU) No 165/2014.</w:t>
      </w:r>
    </w:p>
    <w:tbl>
      <w:tblPr>
        <w:tblW w:w="0" w:type="auto"/>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539"/>
        <w:gridCol w:w="497"/>
        <w:gridCol w:w="621"/>
        <w:gridCol w:w="621"/>
        <w:gridCol w:w="551"/>
        <w:gridCol w:w="551"/>
        <w:gridCol w:w="645"/>
        <w:gridCol w:w="660"/>
      </w:tblGrid>
      <w:tr w:rsidR="006D69CF" w:rsidRPr="006D69CF" w:rsidTr="006D69C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Equipment and cards compatibility</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before="240" w:after="240" w:line="240" w:lineRule="auto"/>
              <w:rPr>
                <w:rFonts w:ascii="Times New Roman" w:eastAsia="Times New Roman" w:hAnsi="Times New Roman" w:cs="Times New Roman"/>
                <w:sz w:val="17"/>
                <w:szCs w:val="17"/>
              </w:rPr>
            </w:pPr>
            <w:proofErr w:type="spellStart"/>
            <w:r w:rsidRPr="006D69CF">
              <w:rPr>
                <w:rFonts w:ascii="Times New Roman" w:eastAsia="Times New Roman" w:hAnsi="Times New Roman" w:cs="Times New Roman"/>
                <w:sz w:val="17"/>
                <w:szCs w:val="17"/>
              </w:rPr>
              <w:t>Tachograph</w:t>
            </w:r>
            <w:proofErr w:type="spellEnd"/>
          </w:p>
          <w:p w:rsidR="006D69CF" w:rsidRPr="006D69CF" w:rsidRDefault="006D69CF" w:rsidP="006D69CF">
            <w:pPr>
              <w:spacing w:before="240" w:after="24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driver cards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before="240" w:after="240" w:line="240" w:lineRule="auto"/>
              <w:rPr>
                <w:rFonts w:ascii="Times New Roman" w:eastAsia="Times New Roman" w:hAnsi="Times New Roman" w:cs="Times New Roman"/>
                <w:sz w:val="17"/>
                <w:szCs w:val="17"/>
              </w:rPr>
            </w:pPr>
            <w:proofErr w:type="spellStart"/>
            <w:r w:rsidRPr="006D69CF">
              <w:rPr>
                <w:rFonts w:ascii="Times New Roman" w:eastAsia="Times New Roman" w:hAnsi="Times New Roman" w:cs="Times New Roman"/>
                <w:sz w:val="17"/>
                <w:szCs w:val="17"/>
              </w:rPr>
              <w:t>Tachograph</w:t>
            </w:r>
            <w:proofErr w:type="spellEnd"/>
          </w:p>
          <w:p w:rsidR="006D69CF" w:rsidRPr="006D69CF" w:rsidRDefault="006D69CF" w:rsidP="006D69CF">
            <w:pPr>
              <w:spacing w:before="240" w:after="24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company cards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proofErr w:type="spellStart"/>
            <w:r w:rsidRPr="006D69CF">
              <w:rPr>
                <w:rFonts w:ascii="Times New Roman" w:eastAsia="Times New Roman" w:hAnsi="Times New Roman" w:cs="Times New Roman"/>
                <w:sz w:val="17"/>
                <w:szCs w:val="17"/>
              </w:rPr>
              <w:t>Tachograph</w:t>
            </w:r>
            <w:proofErr w:type="spellEnd"/>
            <w:r w:rsidRPr="006D69CF">
              <w:rPr>
                <w:rFonts w:ascii="Times New Roman" w:eastAsia="Times New Roman" w:hAnsi="Times New Roman" w:cs="Times New Roman"/>
                <w:sz w:val="17"/>
                <w:szCs w:val="17"/>
              </w:rPr>
              <w:br/>
              <w:t>control cards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before="240" w:after="24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br/>
            </w:r>
            <w:proofErr w:type="spellStart"/>
            <w:r w:rsidRPr="006D69CF">
              <w:rPr>
                <w:rFonts w:ascii="Times New Roman" w:eastAsia="Times New Roman" w:hAnsi="Times New Roman" w:cs="Times New Roman"/>
                <w:sz w:val="17"/>
                <w:szCs w:val="17"/>
              </w:rPr>
              <w:t>Tachograph</w:t>
            </w:r>
            <w:proofErr w:type="spellEnd"/>
          </w:p>
          <w:p w:rsidR="006D69CF" w:rsidRPr="006D69CF" w:rsidRDefault="006D69CF" w:rsidP="006D69CF">
            <w:pPr>
              <w:spacing w:before="240" w:after="24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workshop cards   </w:t>
            </w:r>
          </w:p>
        </w:tc>
      </w:tr>
      <w:tr w:rsidR="006D69CF" w:rsidRPr="006D69CF" w:rsidTr="006D69C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Equipment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Gen2</w:t>
            </w:r>
          </w:p>
        </w:tc>
      </w:tr>
      <w:tr w:rsidR="006D69CF" w:rsidRPr="006D69CF" w:rsidTr="006D69C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Gen1</w:t>
            </w:r>
            <w:r w:rsidRPr="006D69CF">
              <w:rPr>
                <w:rFonts w:ascii="Times New Roman" w:eastAsia="Times New Roman" w:hAnsi="Times New Roman" w:cs="Times New Roman"/>
                <w:sz w:val="17"/>
                <w:szCs w:val="17"/>
              </w:rPr>
              <w:br/>
              <w:t xml:space="preserve">(Digital </w:t>
            </w:r>
            <w:proofErr w:type="spellStart"/>
            <w:r w:rsidRPr="006D69CF">
              <w:rPr>
                <w:rFonts w:ascii="Times New Roman" w:eastAsia="Times New Roman" w:hAnsi="Times New Roman" w:cs="Times New Roman"/>
                <w:sz w:val="17"/>
                <w:szCs w:val="17"/>
              </w:rPr>
              <w:t>tachograph</w:t>
            </w:r>
            <w:proofErr w:type="spellEnd"/>
            <w:r w:rsidRPr="006D69CF">
              <w:rPr>
                <w:rFonts w:ascii="Times New Roman" w:eastAsia="Times New Roman" w:hAnsi="Times New Roman" w:cs="Times New Roman"/>
                <w:sz w:val="17"/>
                <w:szCs w:val="17"/>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r>
      <w:tr w:rsidR="006D69CF" w:rsidRPr="006D69CF" w:rsidTr="006D69C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Gen2</w:t>
            </w:r>
            <w:r w:rsidRPr="006D69CF">
              <w:rPr>
                <w:rFonts w:ascii="Times New Roman" w:eastAsia="Times New Roman" w:hAnsi="Times New Roman" w:cs="Times New Roman"/>
                <w:sz w:val="17"/>
                <w:szCs w:val="17"/>
              </w:rPr>
              <w:br/>
              <w:t xml:space="preserve">(Smart </w:t>
            </w:r>
            <w:proofErr w:type="spellStart"/>
            <w:r w:rsidRPr="006D69CF">
              <w:rPr>
                <w:rFonts w:ascii="Times New Roman" w:eastAsia="Times New Roman" w:hAnsi="Times New Roman" w:cs="Times New Roman"/>
                <w:sz w:val="17"/>
                <w:szCs w:val="17"/>
              </w:rPr>
              <w:t>tachograph</w:t>
            </w:r>
            <w:proofErr w:type="spellEnd"/>
            <w:r w:rsidRPr="006D69CF">
              <w:rPr>
                <w:rFonts w:ascii="Times New Roman" w:eastAsia="Times New Roman" w:hAnsi="Times New Roman" w:cs="Times New Roman"/>
                <w:sz w:val="17"/>
                <w:szCs w:val="17"/>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NO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69CF" w:rsidRPr="006D69CF" w:rsidRDefault="006D69CF" w:rsidP="006D69CF">
            <w:pPr>
              <w:spacing w:after="0" w:line="240" w:lineRule="auto"/>
              <w:rPr>
                <w:rFonts w:ascii="Times New Roman" w:eastAsia="Times New Roman" w:hAnsi="Times New Roman" w:cs="Times New Roman"/>
                <w:sz w:val="17"/>
                <w:szCs w:val="17"/>
              </w:rPr>
            </w:pPr>
            <w:r w:rsidRPr="006D69CF">
              <w:rPr>
                <w:rFonts w:ascii="Times New Roman" w:eastAsia="Times New Roman" w:hAnsi="Times New Roman" w:cs="Times New Roman"/>
                <w:sz w:val="17"/>
                <w:szCs w:val="17"/>
              </w:rPr>
              <w:t>  YES</w:t>
            </w:r>
          </w:p>
        </w:tc>
      </w:tr>
    </w:tbl>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First generation driver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Pr>
          <w:rFonts w:ascii="Verdana" w:eastAsia="Times New Roman" w:hAnsi="Verdana" w:cs="Times New Roman"/>
          <w:noProof/>
          <w:color w:val="333333"/>
          <w:sz w:val="20"/>
          <w:szCs w:val="20"/>
        </w:rPr>
        <w:drawing>
          <wp:inline distT="0" distB="0" distL="0" distR="0">
            <wp:extent cx="1849120" cy="1144270"/>
            <wp:effectExtent l="0" t="0" r="0" b="0"/>
            <wp:docPr id="16" name="Picture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120" cy="1144270"/>
                    </a:xfrm>
                    <a:prstGeom prst="rect">
                      <a:avLst/>
                    </a:prstGeom>
                    <a:noFill/>
                    <a:ln>
                      <a:noFill/>
                    </a:ln>
                  </pic:spPr>
                </pic:pic>
              </a:graphicData>
            </a:graphic>
          </wp:inline>
        </w:drawing>
      </w:r>
      <w:r w:rsidRPr="006D69CF">
        <w:rPr>
          <w:rFonts w:ascii="Verdana" w:eastAsia="Times New Roman" w:hAnsi="Verdana" w:cs="Times New Roman"/>
          <w:color w:val="333333"/>
          <w:sz w:val="20"/>
          <w:szCs w:val="20"/>
        </w:rPr>
        <w:t>   </w:t>
      </w:r>
      <w:r>
        <w:rPr>
          <w:rFonts w:ascii="Verdana" w:eastAsia="Times New Roman" w:hAnsi="Verdana" w:cs="Times New Roman"/>
          <w:noProof/>
          <w:color w:val="333333"/>
          <w:sz w:val="20"/>
          <w:szCs w:val="20"/>
        </w:rPr>
        <w:drawing>
          <wp:inline distT="0" distB="0" distL="0" distR="0">
            <wp:extent cx="1828800" cy="1144270"/>
            <wp:effectExtent l="0" t="0" r="0" b="0"/>
            <wp:docPr id="15" name="Picture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Second generation driver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1798320" cy="1144270"/>
            <wp:effectExtent l="0" t="0" r="0" b="0"/>
            <wp:docPr id="14" name="Picture 14" descr="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144270"/>
                    </a:xfrm>
                    <a:prstGeom prst="rect">
                      <a:avLst/>
                    </a:prstGeom>
                    <a:noFill/>
                    <a:ln>
                      <a:noFill/>
                    </a:ln>
                  </pic:spPr>
                </pic:pic>
              </a:graphicData>
            </a:graphic>
          </wp:inline>
        </w:drawing>
      </w:r>
      <w:r w:rsidRPr="006D69CF">
        <w:rPr>
          <w:rFonts w:ascii="Verdana" w:eastAsia="Times New Roman" w:hAnsi="Verdana" w:cs="Times New Roman"/>
          <w:color w:val="333333"/>
          <w:sz w:val="17"/>
          <w:szCs w:val="17"/>
        </w:rPr>
        <w:t>    </w:t>
      </w:r>
      <w:r>
        <w:rPr>
          <w:rFonts w:ascii="Verdana" w:eastAsia="Times New Roman" w:hAnsi="Verdana" w:cs="Times New Roman"/>
          <w:noProof/>
          <w:color w:val="333333"/>
          <w:sz w:val="17"/>
          <w:szCs w:val="17"/>
        </w:rPr>
        <w:drawing>
          <wp:inline distT="0" distB="0" distL="0" distR="0">
            <wp:extent cx="1818640" cy="1144270"/>
            <wp:effectExtent l="0" t="0" r="0" b="0"/>
            <wp:docPr id="13" name="Picture 13" descr="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The card is issued upon request for a five-year validity period.</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 xml:space="preserve">The request is submitted to the entity Ministry responsible for road transport and Sub-department for Public Transportation and Vehicle Maintenance of the </w:t>
      </w:r>
      <w:proofErr w:type="spellStart"/>
      <w:r w:rsidRPr="006D69CF">
        <w:rPr>
          <w:rFonts w:ascii="Verdana" w:eastAsia="Times New Roman" w:hAnsi="Verdana" w:cs="Times New Roman"/>
          <w:color w:val="333333"/>
          <w:sz w:val="17"/>
          <w:szCs w:val="17"/>
        </w:rPr>
        <w:t>Brčko</w:t>
      </w:r>
      <w:proofErr w:type="spellEnd"/>
      <w:r w:rsidRPr="006D69CF">
        <w:rPr>
          <w:rFonts w:ascii="Verdana" w:eastAsia="Times New Roman" w:hAnsi="Verdana" w:cs="Times New Roman"/>
          <w:color w:val="333333"/>
          <w:sz w:val="17"/>
          <w:szCs w:val="17"/>
        </w:rPr>
        <w:t xml:space="preserve"> District of Bosnia and Herzegovina;</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Competent authority issues a decision on issuance or refusal of the request for issuance of the card;</w:t>
      </w:r>
      <w:r w:rsidRPr="006D69CF">
        <w:rPr>
          <w:rFonts w:ascii="Verdana" w:eastAsia="Times New Roman" w:hAnsi="Verdana" w:cs="Times New Roman"/>
          <w:color w:val="333333"/>
          <w:sz w:val="17"/>
          <w:szCs w:val="17"/>
        </w:rPr>
        <w:br/>
        <w:t xml:space="preserve">Personalization and technical processing of the cards and maintenance of registers of personalized </w:t>
      </w:r>
      <w:r w:rsidRPr="006D69CF">
        <w:rPr>
          <w:rFonts w:ascii="Verdana" w:eastAsia="Times New Roman" w:hAnsi="Verdana" w:cs="Times New Roman"/>
          <w:color w:val="333333"/>
          <w:sz w:val="17"/>
          <w:szCs w:val="17"/>
        </w:rPr>
        <w:lastRenderedPageBreak/>
        <w:t>cards are done by the Agency for Identification Documents, Registers and Data Exchange of Bosnia and Herzegovina (IDDEEA);</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r w:rsidRPr="006D69CF">
        <w:rPr>
          <w:rFonts w:ascii="Verdana" w:eastAsia="Times New Roman" w:hAnsi="Verdana" w:cs="Times New Roman"/>
          <w:color w:val="333333"/>
          <w:sz w:val="17"/>
          <w:szCs w:val="17"/>
        </w:rPr>
        <w:br/>
        <w:t>Personalized card shall be delivered at the competent authority where the request for its issuance is submitted.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First generation company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Pr>
          <w:rFonts w:ascii="Verdana" w:eastAsia="Times New Roman" w:hAnsi="Verdana" w:cs="Times New Roman"/>
          <w:noProof/>
          <w:color w:val="333333"/>
          <w:sz w:val="20"/>
          <w:szCs w:val="20"/>
        </w:rPr>
        <w:drawing>
          <wp:inline distT="0" distB="0" distL="0" distR="0">
            <wp:extent cx="1818640" cy="1144270"/>
            <wp:effectExtent l="0" t="0" r="0" b="0"/>
            <wp:docPr id="12" name="Picture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r w:rsidRPr="006D69CF">
        <w:rPr>
          <w:rFonts w:ascii="Verdana" w:eastAsia="Times New Roman" w:hAnsi="Verdana" w:cs="Times New Roman"/>
          <w:color w:val="333333"/>
          <w:sz w:val="20"/>
          <w:szCs w:val="20"/>
        </w:rPr>
        <w:t>   </w:t>
      </w:r>
      <w:r>
        <w:rPr>
          <w:rFonts w:ascii="Verdana" w:eastAsia="Times New Roman" w:hAnsi="Verdana" w:cs="Times New Roman"/>
          <w:noProof/>
          <w:color w:val="333333"/>
          <w:sz w:val="20"/>
          <w:szCs w:val="20"/>
        </w:rPr>
        <w:drawing>
          <wp:inline distT="0" distB="0" distL="0" distR="0">
            <wp:extent cx="1818640" cy="1144270"/>
            <wp:effectExtent l="0" t="0" r="0" b="0"/>
            <wp:docPr id="11" name="Picture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Second generation company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1849120" cy="1144270"/>
            <wp:effectExtent l="0" t="0" r="0" b="0"/>
            <wp:docPr id="10" name="Picture 10" descr="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9120" cy="1144270"/>
                    </a:xfrm>
                    <a:prstGeom prst="rect">
                      <a:avLst/>
                    </a:prstGeom>
                    <a:noFill/>
                    <a:ln>
                      <a:noFill/>
                    </a:ln>
                  </pic:spPr>
                </pic:pic>
              </a:graphicData>
            </a:graphic>
          </wp:inline>
        </w:drawing>
      </w:r>
      <w:r w:rsidRPr="006D69CF">
        <w:rPr>
          <w:rFonts w:ascii="Verdana" w:eastAsia="Times New Roman" w:hAnsi="Verdana" w:cs="Times New Roman"/>
          <w:color w:val="333333"/>
          <w:sz w:val="17"/>
          <w:szCs w:val="17"/>
        </w:rPr>
        <w:t>    </w:t>
      </w:r>
      <w:r>
        <w:rPr>
          <w:rFonts w:ascii="Verdana" w:eastAsia="Times New Roman" w:hAnsi="Verdana" w:cs="Times New Roman"/>
          <w:noProof/>
          <w:color w:val="333333"/>
          <w:sz w:val="17"/>
          <w:szCs w:val="17"/>
        </w:rPr>
        <w:drawing>
          <wp:inline distT="0" distB="0" distL="0" distR="0">
            <wp:extent cx="1818640" cy="1144270"/>
            <wp:effectExtent l="0" t="0" r="0" b="0"/>
            <wp:docPr id="9" name="Picture 9" descr="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A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The card is issued upon request for a five-year validity period.</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 xml:space="preserve">The request is submitted to the entity Ministry responsible for road transport and Sub-department for Public Transportation and Vehicle Maintenance of the </w:t>
      </w:r>
      <w:proofErr w:type="spellStart"/>
      <w:r w:rsidRPr="006D69CF">
        <w:rPr>
          <w:rFonts w:ascii="Verdana" w:eastAsia="Times New Roman" w:hAnsi="Verdana" w:cs="Times New Roman"/>
          <w:color w:val="333333"/>
          <w:sz w:val="17"/>
          <w:szCs w:val="17"/>
        </w:rPr>
        <w:t>Brčko</w:t>
      </w:r>
      <w:proofErr w:type="spellEnd"/>
      <w:r w:rsidRPr="006D69CF">
        <w:rPr>
          <w:rFonts w:ascii="Verdana" w:eastAsia="Times New Roman" w:hAnsi="Verdana" w:cs="Times New Roman"/>
          <w:color w:val="333333"/>
          <w:sz w:val="17"/>
          <w:szCs w:val="17"/>
        </w:rPr>
        <w:t xml:space="preserve"> District of Bosnia and Herzegovina;</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Competent authority issues a decision on issuance or refusal of the request for issuance of the card;</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Personalization and technical processing of the cards and maintenance of registers of personalized cards are done by the Agency for Identification Documents, Registers and Data Exchange of Bosnia and Herzegovina (IDDEEA);         </w:t>
      </w:r>
      <w:r w:rsidRPr="006D69CF">
        <w:rPr>
          <w:rFonts w:ascii="Verdana" w:eastAsia="Times New Roman" w:hAnsi="Verdana" w:cs="Times New Roman"/>
          <w:color w:val="333333"/>
          <w:sz w:val="17"/>
          <w:szCs w:val="17"/>
        </w:rPr>
        <w:br/>
      </w:r>
      <w:proofErr w:type="gramStart"/>
      <w:r w:rsidRPr="006D69CF">
        <w:rPr>
          <w:rFonts w:ascii="Verdana" w:eastAsia="Times New Roman" w:hAnsi="Verdana" w:cs="Times New Roman"/>
          <w:color w:val="333333"/>
          <w:sz w:val="17"/>
          <w:szCs w:val="17"/>
        </w:rPr>
        <w:t>Personalized</w:t>
      </w:r>
      <w:proofErr w:type="gramEnd"/>
      <w:r w:rsidRPr="006D69CF">
        <w:rPr>
          <w:rFonts w:ascii="Verdana" w:eastAsia="Times New Roman" w:hAnsi="Verdana" w:cs="Times New Roman"/>
          <w:color w:val="333333"/>
          <w:sz w:val="17"/>
          <w:szCs w:val="17"/>
        </w:rPr>
        <w:t xml:space="preserve"> card shall be delivered at the competent authority where the request for its issuance is submitted.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First generation control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Pr>
          <w:rFonts w:ascii="Verdana" w:eastAsia="Times New Roman" w:hAnsi="Verdana" w:cs="Times New Roman"/>
          <w:noProof/>
          <w:color w:val="333333"/>
          <w:sz w:val="20"/>
          <w:szCs w:val="20"/>
        </w:rPr>
        <w:drawing>
          <wp:inline distT="0" distB="0" distL="0" distR="0">
            <wp:extent cx="1818640" cy="1144270"/>
            <wp:effectExtent l="0" t="0" r="0" b="0"/>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r w:rsidRPr="006D69CF">
        <w:rPr>
          <w:rFonts w:ascii="Verdana" w:eastAsia="Times New Roman" w:hAnsi="Verdana" w:cs="Times New Roman"/>
          <w:color w:val="333333"/>
          <w:sz w:val="20"/>
          <w:szCs w:val="20"/>
        </w:rPr>
        <w:t>   </w:t>
      </w:r>
      <w:r>
        <w:rPr>
          <w:rFonts w:ascii="Verdana" w:eastAsia="Times New Roman" w:hAnsi="Verdana" w:cs="Times New Roman"/>
          <w:noProof/>
          <w:color w:val="333333"/>
          <w:sz w:val="20"/>
          <w:szCs w:val="20"/>
        </w:rPr>
        <w:drawing>
          <wp:inline distT="0" distB="0" distL="0" distR="0">
            <wp:extent cx="1818640" cy="1144270"/>
            <wp:effectExtent l="0" t="0" r="0" b="0"/>
            <wp:docPr id="7"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lastRenderedPageBreak/>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Second generation control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1828800" cy="1144270"/>
            <wp:effectExtent l="0" t="0" r="0" b="0"/>
            <wp:docPr id="6" name="Picture 6" descr="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KA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144270"/>
                    </a:xfrm>
                    <a:prstGeom prst="rect">
                      <a:avLst/>
                    </a:prstGeom>
                    <a:noFill/>
                    <a:ln>
                      <a:noFill/>
                    </a:ln>
                  </pic:spPr>
                </pic:pic>
              </a:graphicData>
            </a:graphic>
          </wp:inline>
        </w:drawing>
      </w:r>
      <w:r w:rsidRPr="006D69CF">
        <w:rPr>
          <w:rFonts w:ascii="Verdana" w:eastAsia="Times New Roman" w:hAnsi="Verdana" w:cs="Times New Roman"/>
          <w:color w:val="333333"/>
          <w:sz w:val="17"/>
          <w:szCs w:val="17"/>
        </w:rPr>
        <w:t>    </w:t>
      </w:r>
      <w:r>
        <w:rPr>
          <w:rFonts w:ascii="Verdana" w:eastAsia="Times New Roman" w:hAnsi="Verdana" w:cs="Times New Roman"/>
          <w:noProof/>
          <w:color w:val="333333"/>
          <w:sz w:val="17"/>
          <w:szCs w:val="17"/>
        </w:rPr>
        <w:drawing>
          <wp:inline distT="0" distB="0" distL="0" distR="0">
            <wp:extent cx="1818640" cy="1144270"/>
            <wp:effectExtent l="0" t="0" r="0" b="0"/>
            <wp:docPr id="5" name="Picture 5" descr="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KA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The card is issued upon request for a two-year validity period.</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 xml:space="preserve">The request is submitted to the entity Ministry responsible for road transport and Sub-department for Public Transportation and Vehicle Maintenance of the </w:t>
      </w:r>
      <w:proofErr w:type="spellStart"/>
      <w:r w:rsidRPr="006D69CF">
        <w:rPr>
          <w:rFonts w:ascii="Verdana" w:eastAsia="Times New Roman" w:hAnsi="Verdana" w:cs="Times New Roman"/>
          <w:color w:val="333333"/>
          <w:sz w:val="17"/>
          <w:szCs w:val="17"/>
        </w:rPr>
        <w:t>Brčko</w:t>
      </w:r>
      <w:proofErr w:type="spellEnd"/>
      <w:r w:rsidRPr="006D69CF">
        <w:rPr>
          <w:rFonts w:ascii="Verdana" w:eastAsia="Times New Roman" w:hAnsi="Verdana" w:cs="Times New Roman"/>
          <w:color w:val="333333"/>
          <w:sz w:val="17"/>
          <w:szCs w:val="17"/>
        </w:rPr>
        <w:t xml:space="preserve"> District of Bosnia and Herzegovina;</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The card is issued solely in the name of the person authorized to conduct monitoring in accordance with the law;</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The competent authority issues a decision on issuance or refusal of the request for issuance of the card;</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Personalization and technical processing of the cards and maintenance of registers of personalized cards are done by the Agency for Identification Documents, Registers and Data Exchange of Bosnia and Herzegovina (IDDEEA);</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r w:rsidRPr="006D69CF">
        <w:rPr>
          <w:rFonts w:ascii="Verdana" w:eastAsia="Times New Roman" w:hAnsi="Verdana" w:cs="Times New Roman"/>
          <w:color w:val="333333"/>
          <w:sz w:val="17"/>
          <w:szCs w:val="17"/>
        </w:rPr>
        <w:br/>
        <w:t>Personalized card shall be delivered at the competent authority where the request for its issuance is submitted.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First generation workshop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20"/>
          <w:szCs w:val="20"/>
        </w:rPr>
        <w:t> </w:t>
      </w:r>
      <w:r>
        <w:rPr>
          <w:rFonts w:ascii="Verdana" w:eastAsia="Times New Roman" w:hAnsi="Verdana" w:cs="Times New Roman"/>
          <w:noProof/>
          <w:color w:val="333333"/>
          <w:sz w:val="20"/>
          <w:szCs w:val="20"/>
        </w:rPr>
        <w:drawing>
          <wp:inline distT="0" distB="0" distL="0" distR="0">
            <wp:extent cx="1818640" cy="1144270"/>
            <wp:effectExtent l="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r w:rsidRPr="006D69CF">
        <w:rPr>
          <w:rFonts w:ascii="Verdana" w:eastAsia="Times New Roman" w:hAnsi="Verdana" w:cs="Times New Roman"/>
          <w:color w:val="333333"/>
          <w:sz w:val="20"/>
          <w:szCs w:val="20"/>
        </w:rPr>
        <w:t>   </w:t>
      </w:r>
      <w:r>
        <w:rPr>
          <w:rFonts w:ascii="Verdana" w:eastAsia="Times New Roman" w:hAnsi="Verdana" w:cs="Times New Roman"/>
          <w:noProof/>
          <w:color w:val="333333"/>
          <w:sz w:val="20"/>
          <w:szCs w:val="20"/>
        </w:rPr>
        <w:drawing>
          <wp:inline distT="0" distB="0" distL="0" distR="0">
            <wp:extent cx="1818640" cy="1144270"/>
            <wp:effectExtent l="0" t="0" r="0" b="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864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sidRPr="006D69CF">
        <w:rPr>
          <w:rFonts w:ascii="Arial" w:eastAsia="Times New Roman" w:hAnsi="Arial" w:cs="Arial"/>
          <w:b/>
          <w:bCs/>
          <w:color w:val="333333"/>
          <w:sz w:val="24"/>
          <w:szCs w:val="24"/>
        </w:rPr>
        <w:t>Second generation workshop card</w:t>
      </w:r>
    </w:p>
    <w:p w:rsidR="006D69CF" w:rsidRPr="006D69CF" w:rsidRDefault="006D69CF" w:rsidP="006D69CF">
      <w:pPr>
        <w:shd w:val="clear" w:color="auto" w:fill="FFFFFF"/>
        <w:spacing w:before="240" w:after="240" w:line="240" w:lineRule="auto"/>
        <w:jc w:val="center"/>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lastRenderedPageBreak/>
        <w:drawing>
          <wp:inline distT="0" distB="0" distL="0" distR="0">
            <wp:extent cx="1798320" cy="1144270"/>
            <wp:effectExtent l="0" t="0" r="0" b="0"/>
            <wp:docPr id="2" name="Picture 2" descr="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KA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8320" cy="1144270"/>
                    </a:xfrm>
                    <a:prstGeom prst="rect">
                      <a:avLst/>
                    </a:prstGeom>
                    <a:noFill/>
                    <a:ln>
                      <a:noFill/>
                    </a:ln>
                  </pic:spPr>
                </pic:pic>
              </a:graphicData>
            </a:graphic>
          </wp:inline>
        </w:drawing>
      </w:r>
      <w:r w:rsidRPr="006D69CF">
        <w:rPr>
          <w:rFonts w:ascii="Verdana" w:eastAsia="Times New Roman" w:hAnsi="Verdana" w:cs="Times New Roman"/>
          <w:color w:val="333333"/>
          <w:sz w:val="17"/>
          <w:szCs w:val="17"/>
        </w:rPr>
        <w:t>    </w:t>
      </w:r>
      <w:r>
        <w:rPr>
          <w:rFonts w:ascii="Verdana" w:eastAsia="Times New Roman" w:hAnsi="Verdana" w:cs="Times New Roman"/>
          <w:noProof/>
          <w:color w:val="333333"/>
          <w:sz w:val="17"/>
          <w:szCs w:val="17"/>
        </w:rPr>
        <w:drawing>
          <wp:inline distT="0" distB="0" distL="0" distR="0">
            <wp:extent cx="1849120" cy="1144270"/>
            <wp:effectExtent l="0" t="0" r="0" b="0"/>
            <wp:docPr id="1" name="Picture 1" descr="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LIKA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9120" cy="1144270"/>
                    </a:xfrm>
                    <a:prstGeom prst="rect">
                      <a:avLst/>
                    </a:prstGeom>
                    <a:noFill/>
                    <a:ln>
                      <a:noFill/>
                    </a:ln>
                  </pic:spPr>
                </pic:pic>
              </a:graphicData>
            </a:graphic>
          </wp:inline>
        </w:drawing>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The card is issued upon request for a one-year validity period.</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 xml:space="preserve">The request is submitted to the entity Ministry responsible for road transport and Sub-department for Public Transportation and Vehicle Maintenance of the </w:t>
      </w:r>
      <w:proofErr w:type="spellStart"/>
      <w:r w:rsidRPr="006D69CF">
        <w:rPr>
          <w:rFonts w:ascii="Verdana" w:eastAsia="Times New Roman" w:hAnsi="Verdana" w:cs="Times New Roman"/>
          <w:color w:val="333333"/>
          <w:sz w:val="17"/>
          <w:szCs w:val="17"/>
        </w:rPr>
        <w:t>Brčko</w:t>
      </w:r>
      <w:proofErr w:type="spellEnd"/>
      <w:r w:rsidRPr="006D69CF">
        <w:rPr>
          <w:rFonts w:ascii="Verdana" w:eastAsia="Times New Roman" w:hAnsi="Verdana" w:cs="Times New Roman"/>
          <w:color w:val="333333"/>
          <w:sz w:val="17"/>
          <w:szCs w:val="17"/>
        </w:rPr>
        <w:t xml:space="preserve"> District of Bosnia and Herzegovina;</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The card is issued solely in the name of a technician who meets specific requirements and must have a security PIN known only to the technician of the workshop - a card holder;</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The competent authority issues a decision on issuance or refusal of the request for issuance of the card;</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br/>
        <w:t>Personalization and technical processing of the cards and maintenance of registers of personalized cards are done by the Agency for Identification Documents, Registers and Data Exchange of Bosnia and Herzegovina (IDDEEA);</w:t>
      </w:r>
    </w:p>
    <w:p w:rsidR="006D69CF" w:rsidRPr="006D69CF" w:rsidRDefault="006D69CF" w:rsidP="006D69CF">
      <w:pPr>
        <w:shd w:val="clear" w:color="auto" w:fill="FFFFFF"/>
        <w:spacing w:before="240" w:after="240" w:line="240" w:lineRule="auto"/>
        <w:jc w:val="both"/>
        <w:rPr>
          <w:rFonts w:ascii="Verdana" w:eastAsia="Times New Roman" w:hAnsi="Verdana" w:cs="Times New Roman"/>
          <w:color w:val="333333"/>
          <w:sz w:val="17"/>
          <w:szCs w:val="17"/>
        </w:rPr>
      </w:pPr>
      <w:r w:rsidRPr="006D69CF">
        <w:rPr>
          <w:rFonts w:ascii="Verdana" w:eastAsia="Times New Roman" w:hAnsi="Verdana" w:cs="Times New Roman"/>
          <w:color w:val="333333"/>
          <w:sz w:val="17"/>
          <w:szCs w:val="17"/>
        </w:rPr>
        <w:t>         </w:t>
      </w:r>
      <w:r w:rsidRPr="006D69CF">
        <w:rPr>
          <w:rFonts w:ascii="Verdana" w:eastAsia="Times New Roman" w:hAnsi="Verdana" w:cs="Times New Roman"/>
          <w:color w:val="333333"/>
          <w:sz w:val="17"/>
          <w:szCs w:val="17"/>
        </w:rPr>
        <w:br/>
        <w:t>Personalized card shall be delivered at the competent authority where the request for its issuance is submitted. </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26"/>
    <w:rsid w:val="0044711C"/>
    <w:rsid w:val="006D69CF"/>
    <w:rsid w:val="00737BA1"/>
    <w:rsid w:val="00827E26"/>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6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9CF"/>
    <w:rPr>
      <w:rFonts w:ascii="Times New Roman" w:eastAsia="Times New Roman" w:hAnsi="Times New Roman" w:cs="Times New Roman"/>
      <w:b/>
      <w:bCs/>
      <w:sz w:val="36"/>
      <w:szCs w:val="36"/>
    </w:rPr>
  </w:style>
  <w:style w:type="character" w:customStyle="1" w:styleId="createdate">
    <w:name w:val="createdate"/>
    <w:basedOn w:val="DefaultParagraphFont"/>
    <w:rsid w:val="006D69CF"/>
  </w:style>
  <w:style w:type="paragraph" w:styleId="NormalWeb">
    <w:name w:val="Normal (Web)"/>
    <w:basedOn w:val="Normal"/>
    <w:uiPriority w:val="99"/>
    <w:unhideWhenUsed/>
    <w:rsid w:val="006D6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9CF"/>
    <w:rPr>
      <w:b/>
      <w:bCs/>
    </w:rPr>
  </w:style>
  <w:style w:type="paragraph" w:styleId="BalloonText">
    <w:name w:val="Balloon Text"/>
    <w:basedOn w:val="Normal"/>
    <w:link w:val="BalloonTextChar"/>
    <w:uiPriority w:val="99"/>
    <w:semiHidden/>
    <w:unhideWhenUsed/>
    <w:rsid w:val="006D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6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9CF"/>
    <w:rPr>
      <w:rFonts w:ascii="Times New Roman" w:eastAsia="Times New Roman" w:hAnsi="Times New Roman" w:cs="Times New Roman"/>
      <w:b/>
      <w:bCs/>
      <w:sz w:val="36"/>
      <w:szCs w:val="36"/>
    </w:rPr>
  </w:style>
  <w:style w:type="character" w:customStyle="1" w:styleId="createdate">
    <w:name w:val="createdate"/>
    <w:basedOn w:val="DefaultParagraphFont"/>
    <w:rsid w:val="006D69CF"/>
  </w:style>
  <w:style w:type="paragraph" w:styleId="NormalWeb">
    <w:name w:val="Normal (Web)"/>
    <w:basedOn w:val="Normal"/>
    <w:uiPriority w:val="99"/>
    <w:unhideWhenUsed/>
    <w:rsid w:val="006D6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9CF"/>
    <w:rPr>
      <w:b/>
      <w:bCs/>
    </w:rPr>
  </w:style>
  <w:style w:type="paragraph" w:styleId="BalloonText">
    <w:name w:val="Balloon Text"/>
    <w:basedOn w:val="Normal"/>
    <w:link w:val="BalloonTextChar"/>
    <w:uiPriority w:val="99"/>
    <w:semiHidden/>
    <w:unhideWhenUsed/>
    <w:rsid w:val="006D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7030">
      <w:bodyDiv w:val="1"/>
      <w:marLeft w:val="0"/>
      <w:marRight w:val="0"/>
      <w:marTop w:val="0"/>
      <w:marBottom w:val="0"/>
      <w:divBdr>
        <w:top w:val="none" w:sz="0" w:space="0" w:color="auto"/>
        <w:left w:val="none" w:sz="0" w:space="0" w:color="auto"/>
        <w:bottom w:val="none" w:sz="0" w:space="0" w:color="auto"/>
        <w:right w:val="none" w:sz="0" w:space="0" w:color="auto"/>
      </w:divBdr>
      <w:divsChild>
        <w:div w:id="2060662841">
          <w:marLeft w:val="0"/>
          <w:marRight w:val="0"/>
          <w:marTop w:val="0"/>
          <w:marBottom w:val="75"/>
          <w:divBdr>
            <w:top w:val="none" w:sz="0" w:space="0" w:color="auto"/>
            <w:left w:val="none" w:sz="0" w:space="0" w:color="auto"/>
            <w:bottom w:val="none" w:sz="0" w:space="0" w:color="auto"/>
            <w:right w:val="none" w:sz="0" w:space="0" w:color="auto"/>
          </w:divBdr>
          <w:divsChild>
            <w:div w:id="2095544065">
              <w:marLeft w:val="0"/>
              <w:marRight w:val="0"/>
              <w:marTop w:val="0"/>
              <w:marBottom w:val="0"/>
              <w:divBdr>
                <w:top w:val="none" w:sz="0" w:space="0" w:color="auto"/>
                <w:left w:val="none" w:sz="0" w:space="0" w:color="auto"/>
                <w:bottom w:val="none" w:sz="0" w:space="0" w:color="auto"/>
                <w:right w:val="none" w:sz="0" w:space="0" w:color="auto"/>
              </w:divBdr>
            </w:div>
          </w:divsChild>
        </w:div>
        <w:div w:id="39879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2023-03-29T13:11:00Z</dcterms:created>
  <dcterms:modified xsi:type="dcterms:W3CDTF">2023-03-29T13:12:00Z</dcterms:modified>
</cp:coreProperties>
</file>