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78" w:rsidRPr="00F84378" w:rsidRDefault="00F84378" w:rsidP="00F84378">
      <w:pPr>
        <w:shd w:val="clear" w:color="auto" w:fill="FFFFFF"/>
        <w:spacing w:after="0" w:line="240" w:lineRule="auto"/>
        <w:outlineLvl w:val="1"/>
        <w:rPr>
          <w:rFonts w:ascii="Verdana" w:eastAsia="Times New Roman" w:hAnsi="Verdana" w:cs="Times New Roman"/>
          <w:color w:val="333333"/>
          <w:sz w:val="25"/>
          <w:szCs w:val="25"/>
        </w:rPr>
      </w:pPr>
      <w:r w:rsidRPr="00F84378">
        <w:rPr>
          <w:rFonts w:ascii="Verdana" w:eastAsia="Times New Roman" w:hAnsi="Verdana" w:cs="Times New Roman"/>
          <w:color w:val="333333"/>
          <w:sz w:val="25"/>
          <w:szCs w:val="25"/>
        </w:rPr>
        <w:t>Passport</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Biometric passport of Bosnia and Herzegovina (civil, service and diplomatic) is issued from 15 October 2009 in accordance with the Law on travel documents of BiH ("Official Gazette of BiH", Nos: </w:t>
      </w:r>
      <w:hyperlink r:id="rId6" w:tgtFrame="_blank" w:history="1">
        <w:r w:rsidRPr="00F84378">
          <w:rPr>
            <w:rFonts w:ascii="Arial Narrow" w:eastAsia="Times New Roman" w:hAnsi="Arial Narrow" w:cs="Times New Roman"/>
            <w:color w:val="006699"/>
            <w:sz w:val="24"/>
            <w:szCs w:val="24"/>
            <w:u w:val="single"/>
          </w:rPr>
          <w:t>4/97</w:t>
        </w:r>
      </w:hyperlink>
      <w:r w:rsidRPr="00F84378">
        <w:rPr>
          <w:rFonts w:ascii="Arial Narrow" w:eastAsia="Times New Roman" w:hAnsi="Arial Narrow" w:cs="Times New Roman"/>
          <w:color w:val="333333"/>
          <w:sz w:val="24"/>
          <w:szCs w:val="24"/>
        </w:rPr>
        <w:t>, </w:t>
      </w:r>
      <w:hyperlink r:id="rId7" w:tgtFrame="_blank" w:history="1">
        <w:r w:rsidRPr="00F84378">
          <w:rPr>
            <w:rFonts w:ascii="Arial Narrow" w:eastAsia="Times New Roman" w:hAnsi="Arial Narrow" w:cs="Times New Roman"/>
            <w:color w:val="006699"/>
            <w:sz w:val="24"/>
            <w:szCs w:val="24"/>
            <w:u w:val="single"/>
          </w:rPr>
          <w:t>1/99</w:t>
        </w:r>
      </w:hyperlink>
      <w:r w:rsidRPr="00F84378">
        <w:rPr>
          <w:rFonts w:ascii="Arial Narrow" w:eastAsia="Times New Roman" w:hAnsi="Arial Narrow" w:cs="Times New Roman"/>
          <w:color w:val="333333"/>
          <w:sz w:val="24"/>
          <w:szCs w:val="24"/>
        </w:rPr>
        <w:t>, </w:t>
      </w:r>
      <w:hyperlink r:id="rId8" w:tgtFrame="_blank" w:history="1">
        <w:r w:rsidRPr="00F84378">
          <w:rPr>
            <w:rFonts w:ascii="Arial Narrow" w:eastAsia="Times New Roman" w:hAnsi="Arial Narrow" w:cs="Times New Roman"/>
            <w:color w:val="006699"/>
            <w:sz w:val="24"/>
            <w:szCs w:val="24"/>
            <w:u w:val="single"/>
          </w:rPr>
          <w:t>9/99</w:t>
        </w:r>
      </w:hyperlink>
      <w:r w:rsidRPr="00F84378">
        <w:rPr>
          <w:rFonts w:ascii="Arial Narrow" w:eastAsia="Times New Roman" w:hAnsi="Arial Narrow" w:cs="Times New Roman"/>
          <w:color w:val="333333"/>
          <w:sz w:val="24"/>
          <w:szCs w:val="24"/>
        </w:rPr>
        <w:t>, </w:t>
      </w:r>
      <w:hyperlink r:id="rId9" w:tgtFrame="_blank" w:history="1">
        <w:r w:rsidRPr="00F84378">
          <w:rPr>
            <w:rFonts w:ascii="Arial Narrow" w:eastAsia="Times New Roman" w:hAnsi="Arial Narrow" w:cs="Times New Roman"/>
            <w:color w:val="006699"/>
            <w:sz w:val="24"/>
            <w:szCs w:val="24"/>
            <w:u w:val="single"/>
          </w:rPr>
          <w:t>27/00</w:t>
        </w:r>
      </w:hyperlink>
      <w:r w:rsidRPr="00F84378">
        <w:rPr>
          <w:rFonts w:ascii="Arial Narrow" w:eastAsia="Times New Roman" w:hAnsi="Arial Narrow" w:cs="Times New Roman"/>
          <w:color w:val="333333"/>
          <w:sz w:val="24"/>
          <w:szCs w:val="24"/>
        </w:rPr>
        <w:t>, </w:t>
      </w:r>
      <w:hyperlink r:id="rId10" w:tgtFrame="_blank" w:history="1">
        <w:r w:rsidRPr="00F84378">
          <w:rPr>
            <w:rFonts w:ascii="Arial Narrow" w:eastAsia="Times New Roman" w:hAnsi="Arial Narrow" w:cs="Times New Roman"/>
            <w:color w:val="006699"/>
            <w:sz w:val="24"/>
            <w:szCs w:val="24"/>
            <w:u w:val="single"/>
          </w:rPr>
          <w:t>32/00</w:t>
        </w:r>
      </w:hyperlink>
      <w:r w:rsidRPr="00F84378">
        <w:rPr>
          <w:rFonts w:ascii="Arial Narrow" w:eastAsia="Times New Roman" w:hAnsi="Arial Narrow" w:cs="Times New Roman"/>
          <w:color w:val="333333"/>
          <w:sz w:val="24"/>
          <w:szCs w:val="24"/>
        </w:rPr>
        <w:t>, </w:t>
      </w:r>
      <w:hyperlink r:id="rId11" w:tgtFrame="_blank" w:history="1">
        <w:r w:rsidRPr="00F84378">
          <w:rPr>
            <w:rFonts w:ascii="Arial Narrow" w:eastAsia="Times New Roman" w:hAnsi="Arial Narrow" w:cs="Times New Roman"/>
            <w:color w:val="006699"/>
            <w:sz w:val="24"/>
            <w:szCs w:val="24"/>
            <w:u w:val="single"/>
          </w:rPr>
          <w:t>19/01</w:t>
        </w:r>
      </w:hyperlink>
      <w:r w:rsidRPr="00F84378">
        <w:rPr>
          <w:rFonts w:ascii="Arial Narrow" w:eastAsia="Times New Roman" w:hAnsi="Arial Narrow" w:cs="Times New Roman"/>
          <w:color w:val="333333"/>
          <w:sz w:val="24"/>
          <w:szCs w:val="24"/>
        </w:rPr>
        <w:t>, </w:t>
      </w:r>
      <w:hyperlink r:id="rId12" w:tgtFrame="_blank" w:history="1">
        <w:r w:rsidRPr="00F84378">
          <w:rPr>
            <w:rFonts w:ascii="Arial Narrow" w:eastAsia="Times New Roman" w:hAnsi="Arial Narrow" w:cs="Times New Roman"/>
            <w:color w:val="006699"/>
            <w:sz w:val="24"/>
            <w:szCs w:val="24"/>
            <w:u w:val="single"/>
          </w:rPr>
          <w:t>19/01</w:t>
        </w:r>
      </w:hyperlink>
      <w:r w:rsidRPr="00F84378">
        <w:rPr>
          <w:rFonts w:ascii="Arial Narrow" w:eastAsia="Times New Roman" w:hAnsi="Arial Narrow" w:cs="Times New Roman"/>
          <w:color w:val="333333"/>
          <w:sz w:val="24"/>
          <w:szCs w:val="24"/>
        </w:rPr>
        <w:t>, </w:t>
      </w:r>
      <w:hyperlink r:id="rId13" w:tgtFrame="_blank" w:history="1">
        <w:r w:rsidRPr="00F84378">
          <w:rPr>
            <w:rFonts w:ascii="Arial Narrow" w:eastAsia="Times New Roman" w:hAnsi="Arial Narrow" w:cs="Times New Roman"/>
            <w:color w:val="006699"/>
            <w:sz w:val="24"/>
            <w:szCs w:val="24"/>
            <w:u w:val="single"/>
          </w:rPr>
          <w:t>47/04</w:t>
        </w:r>
      </w:hyperlink>
      <w:r w:rsidRPr="00F84378">
        <w:rPr>
          <w:rFonts w:ascii="Arial Narrow" w:eastAsia="Times New Roman" w:hAnsi="Arial Narrow" w:cs="Times New Roman"/>
          <w:color w:val="333333"/>
          <w:sz w:val="24"/>
          <w:szCs w:val="24"/>
        </w:rPr>
        <w:t>, </w:t>
      </w:r>
      <w:hyperlink r:id="rId14" w:tgtFrame="_blank" w:history="1">
        <w:r w:rsidRPr="00F84378">
          <w:rPr>
            <w:rFonts w:ascii="Arial Narrow" w:eastAsia="Times New Roman" w:hAnsi="Arial Narrow" w:cs="Times New Roman"/>
            <w:color w:val="006699"/>
            <w:sz w:val="24"/>
            <w:szCs w:val="24"/>
            <w:u w:val="single"/>
          </w:rPr>
          <w:t>53/07</w:t>
        </w:r>
      </w:hyperlink>
      <w:r w:rsidRPr="00F84378">
        <w:rPr>
          <w:rFonts w:ascii="Arial Narrow" w:eastAsia="Times New Roman" w:hAnsi="Arial Narrow" w:cs="Times New Roman"/>
          <w:color w:val="333333"/>
          <w:sz w:val="24"/>
          <w:szCs w:val="24"/>
        </w:rPr>
        <w:t>, </w:t>
      </w:r>
      <w:hyperlink r:id="rId15" w:tgtFrame="_blank" w:history="1">
        <w:r w:rsidRPr="00F84378">
          <w:rPr>
            <w:rFonts w:ascii="Arial Narrow" w:eastAsia="Times New Roman" w:hAnsi="Arial Narrow" w:cs="Times New Roman"/>
            <w:color w:val="006699"/>
            <w:sz w:val="24"/>
            <w:szCs w:val="24"/>
            <w:u w:val="single"/>
          </w:rPr>
          <w:t>15/08</w:t>
        </w:r>
      </w:hyperlink>
      <w:r w:rsidRPr="00F84378">
        <w:rPr>
          <w:rFonts w:ascii="Arial Narrow" w:eastAsia="Times New Roman" w:hAnsi="Arial Narrow" w:cs="Times New Roman"/>
          <w:color w:val="333333"/>
          <w:sz w:val="24"/>
          <w:szCs w:val="24"/>
        </w:rPr>
        <w:t>, </w:t>
      </w:r>
      <w:hyperlink r:id="rId16" w:tgtFrame="_blank" w:history="1">
        <w:r w:rsidRPr="00F84378">
          <w:rPr>
            <w:rFonts w:ascii="Arial Narrow" w:eastAsia="Times New Roman" w:hAnsi="Arial Narrow" w:cs="Times New Roman"/>
            <w:color w:val="006699"/>
            <w:sz w:val="24"/>
            <w:szCs w:val="24"/>
            <w:u w:val="single"/>
          </w:rPr>
          <w:t>33/08</w:t>
        </w:r>
      </w:hyperlink>
      <w:r w:rsidRPr="00F84378">
        <w:rPr>
          <w:rFonts w:ascii="Arial Narrow" w:eastAsia="Times New Roman" w:hAnsi="Arial Narrow" w:cs="Times New Roman"/>
          <w:color w:val="333333"/>
          <w:sz w:val="24"/>
          <w:szCs w:val="24"/>
        </w:rPr>
        <w:t>, </w:t>
      </w:r>
      <w:hyperlink r:id="rId17" w:tgtFrame="_blank" w:history="1">
        <w:r w:rsidRPr="00F84378">
          <w:rPr>
            <w:rFonts w:ascii="Arial Narrow" w:eastAsia="Times New Roman" w:hAnsi="Arial Narrow" w:cs="Times New Roman"/>
            <w:color w:val="006699"/>
            <w:sz w:val="24"/>
            <w:szCs w:val="24"/>
            <w:u w:val="single"/>
          </w:rPr>
          <w:t>39/08</w:t>
        </w:r>
      </w:hyperlink>
      <w:r w:rsidRPr="00F84378">
        <w:rPr>
          <w:rFonts w:ascii="Arial Narrow" w:eastAsia="Times New Roman" w:hAnsi="Arial Narrow" w:cs="Times New Roman"/>
          <w:color w:val="333333"/>
          <w:sz w:val="24"/>
          <w:szCs w:val="24"/>
        </w:rPr>
        <w:t>).</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 xml:space="preserve">Biometric passports are issued by the Cantonal Ministries of Interior in </w:t>
      </w:r>
      <w:proofErr w:type="spellStart"/>
      <w:r w:rsidRPr="00F84378">
        <w:rPr>
          <w:rFonts w:ascii="Arial Narrow" w:eastAsia="Times New Roman" w:hAnsi="Arial Narrow" w:cs="Times New Roman"/>
          <w:color w:val="333333"/>
          <w:sz w:val="24"/>
          <w:szCs w:val="24"/>
        </w:rPr>
        <w:t>FBiH</w:t>
      </w:r>
      <w:proofErr w:type="spellEnd"/>
      <w:r w:rsidRPr="00F84378">
        <w:rPr>
          <w:rFonts w:ascii="Arial Narrow" w:eastAsia="Times New Roman" w:hAnsi="Arial Narrow" w:cs="Times New Roman"/>
          <w:color w:val="333333"/>
          <w:sz w:val="24"/>
          <w:szCs w:val="24"/>
        </w:rPr>
        <w:t xml:space="preserve">, Ministry of Interior in Republic of </w:t>
      </w:r>
      <w:proofErr w:type="spellStart"/>
      <w:r w:rsidRPr="00F84378">
        <w:rPr>
          <w:rFonts w:ascii="Arial Narrow" w:eastAsia="Times New Roman" w:hAnsi="Arial Narrow" w:cs="Times New Roman"/>
          <w:color w:val="333333"/>
          <w:sz w:val="24"/>
          <w:szCs w:val="24"/>
        </w:rPr>
        <w:t>Srpska</w:t>
      </w:r>
      <w:proofErr w:type="spellEnd"/>
      <w:r w:rsidRPr="00F84378">
        <w:rPr>
          <w:rFonts w:ascii="Arial Narrow" w:eastAsia="Times New Roman" w:hAnsi="Arial Narrow" w:cs="Times New Roman"/>
          <w:color w:val="333333"/>
          <w:sz w:val="24"/>
          <w:szCs w:val="24"/>
        </w:rPr>
        <w:t xml:space="preserve"> and Public Register in </w:t>
      </w:r>
      <w:proofErr w:type="spellStart"/>
      <w:r w:rsidRPr="00F84378">
        <w:rPr>
          <w:rFonts w:ascii="Arial Narrow" w:eastAsia="Times New Roman" w:hAnsi="Arial Narrow" w:cs="Times New Roman"/>
          <w:color w:val="333333"/>
          <w:sz w:val="24"/>
          <w:szCs w:val="24"/>
        </w:rPr>
        <w:t>Brcko</w:t>
      </w:r>
      <w:proofErr w:type="spellEnd"/>
      <w:r w:rsidRPr="00F84378">
        <w:rPr>
          <w:rFonts w:ascii="Arial Narrow" w:eastAsia="Times New Roman" w:hAnsi="Arial Narrow" w:cs="Times New Roman"/>
          <w:color w:val="333333"/>
          <w:sz w:val="24"/>
          <w:szCs w:val="24"/>
        </w:rPr>
        <w:t xml:space="preserve"> District, according to the place of residence. Diplomatic passports are issued by the Ministry of Foreign Affairs of BiH, and service passports are issued by the Ministry of Civil Affairs.</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 xml:space="preserve">Biometric or E-passport is a document that contains protective elements against counterfeit and electronic chip with which the verification of identity is possible, based on the physiological characteristics of the person who is the subject of the control. Civil, diplomatic and service passports can be distinguished by the embossing on the cover and different </w:t>
      </w:r>
      <w:proofErr w:type="spellStart"/>
      <w:r w:rsidRPr="00F84378">
        <w:rPr>
          <w:rFonts w:ascii="Arial Narrow" w:eastAsia="Times New Roman" w:hAnsi="Arial Narrow" w:cs="Times New Roman"/>
          <w:color w:val="333333"/>
          <w:sz w:val="24"/>
          <w:szCs w:val="24"/>
        </w:rPr>
        <w:t>colouring</w:t>
      </w:r>
      <w:proofErr w:type="spellEnd"/>
      <w:r w:rsidRPr="00F84378">
        <w:rPr>
          <w:rFonts w:ascii="Arial Narrow" w:eastAsia="Times New Roman" w:hAnsi="Arial Narrow" w:cs="Times New Roman"/>
          <w:color w:val="333333"/>
          <w:sz w:val="24"/>
          <w:szCs w:val="24"/>
        </w:rPr>
        <w:t xml:space="preserve"> and texts inside.</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The passports are personalized on the second page. Furthermore the passport contains a contactless chip which is electronically personalized with the holders’ biometric data (photography, signature, fingerprints).</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 xml:space="preserve">From the aspect of the type of acquisition and protection of data in the chip, this is an extended access control (EAC) </w:t>
      </w:r>
      <w:proofErr w:type="gramStart"/>
      <w:r w:rsidRPr="00F84378">
        <w:rPr>
          <w:rFonts w:ascii="Arial Narrow" w:eastAsia="Times New Roman" w:hAnsi="Arial Narrow" w:cs="Times New Roman"/>
          <w:color w:val="333333"/>
          <w:sz w:val="24"/>
          <w:szCs w:val="24"/>
        </w:rPr>
        <w:t>passport,</w:t>
      </w:r>
      <w:proofErr w:type="gramEnd"/>
      <w:r w:rsidRPr="00F84378">
        <w:rPr>
          <w:rFonts w:ascii="Arial Narrow" w:eastAsia="Times New Roman" w:hAnsi="Arial Narrow" w:cs="Times New Roman"/>
          <w:color w:val="333333"/>
          <w:sz w:val="24"/>
          <w:szCs w:val="24"/>
        </w:rPr>
        <w:t xml:space="preserve"> This is the latest generation of biometric passports which the Member States of the European Union are supposed to start issuing from 26th June 2012, in accordance with the Regulation EC 444/2009. EAC passports include more digital certificates and special protection of fingerprints compared to the previous generation of biometric passports.</w:t>
      </w:r>
    </w:p>
    <w:p w:rsidR="00F84378" w:rsidRPr="00F84378" w:rsidRDefault="00F84378" w:rsidP="00F84378">
      <w:pPr>
        <w:shd w:val="clear" w:color="auto" w:fill="FFFFFF"/>
        <w:spacing w:before="240" w:after="240" w:line="240" w:lineRule="auto"/>
        <w:jc w:val="center"/>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Basic Information</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Protective elements of the form of the travel document before and after personalization are described in this document.</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 xml:space="preserve">However, the main </w:t>
      </w:r>
      <w:proofErr w:type="gramStart"/>
      <w:r w:rsidRPr="00F84378">
        <w:rPr>
          <w:rFonts w:ascii="Arial Narrow" w:eastAsia="Times New Roman" w:hAnsi="Arial Narrow" w:cs="Times New Roman"/>
          <w:color w:val="333333"/>
          <w:sz w:val="24"/>
          <w:szCs w:val="24"/>
        </w:rPr>
        <w:t>power of the system of documents in BiH are</w:t>
      </w:r>
      <w:proofErr w:type="gramEnd"/>
      <w:r w:rsidRPr="00F84378">
        <w:rPr>
          <w:rFonts w:ascii="Arial Narrow" w:eastAsia="Times New Roman" w:hAnsi="Arial Narrow" w:cs="Times New Roman"/>
          <w:color w:val="333333"/>
          <w:sz w:val="24"/>
          <w:szCs w:val="24"/>
        </w:rPr>
        <w:t xml:space="preserve"> the process and procedures implemented during the issuance of documents:</w:t>
      </w:r>
    </w:p>
    <w:p w:rsidR="00F84378" w:rsidRPr="00F84378" w:rsidRDefault="00F84378" w:rsidP="00F84378">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On-line system which connects all bodies that issue passports and have access to documents on the basis of which the passports are issued (ID Cards, breeder documents- Birth Certificate, Certificate of Citizenship),</w:t>
      </w:r>
    </w:p>
    <w:p w:rsidR="00F84378" w:rsidRPr="00F84378" w:rsidRDefault="00F84378" w:rsidP="00F84378">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Biometric verification of data is conducted before the personalization,</w:t>
      </w:r>
    </w:p>
    <w:p w:rsidR="00F84378" w:rsidRPr="00F84378" w:rsidRDefault="00F84378" w:rsidP="00F84378">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Any activity on the system and each data access is logged,</w:t>
      </w:r>
    </w:p>
    <w:p w:rsidR="00F84378" w:rsidRPr="00F84378" w:rsidRDefault="00F84378" w:rsidP="00F84378">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Multi-layered system of protection is introduced, from physical protection on locations of the competent authorities, through the protection at the network, computers, and the use of digital signatures.</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color w:val="333333"/>
          <w:sz w:val="24"/>
          <w:szCs w:val="24"/>
        </w:rPr>
        <w:t>More than 300 physical locations of Ministries of Interior, municipalities- Registry Offices, diplomatic-consular network (DKP) are connected in the system, with over 800 users who are directly involved in the process of issuing passports.</w:t>
      </w:r>
    </w:p>
    <w:p w:rsidR="00F84378" w:rsidRPr="00F84378" w:rsidRDefault="00F84378" w:rsidP="00F84378">
      <w:pPr>
        <w:shd w:val="clear" w:color="auto" w:fill="FFFFFF"/>
        <w:spacing w:before="240" w:after="240" w:line="240" w:lineRule="auto"/>
        <w:jc w:val="center"/>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Covers</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lastRenderedPageBreak/>
        <w:t>Passport covers </w:t>
      </w:r>
      <w:r w:rsidRPr="00F84378">
        <w:rPr>
          <w:rFonts w:ascii="Arial Narrow" w:eastAsia="Times New Roman" w:hAnsi="Arial Narrow" w:cs="Times New Roman"/>
          <w:color w:val="333333"/>
          <w:sz w:val="24"/>
          <w:szCs w:val="24"/>
        </w:rPr>
        <w:t xml:space="preserve">are made of synthetic material in blue </w:t>
      </w:r>
      <w:proofErr w:type="spellStart"/>
      <w:r w:rsidRPr="00F84378">
        <w:rPr>
          <w:rFonts w:ascii="Arial Narrow" w:eastAsia="Times New Roman" w:hAnsi="Arial Narrow" w:cs="Times New Roman"/>
          <w:color w:val="333333"/>
          <w:sz w:val="24"/>
          <w:szCs w:val="24"/>
        </w:rPr>
        <w:t>colour</w:t>
      </w:r>
      <w:proofErr w:type="spellEnd"/>
      <w:r w:rsidRPr="00F84378">
        <w:rPr>
          <w:rFonts w:ascii="Arial Narrow" w:eastAsia="Times New Roman" w:hAnsi="Arial Narrow" w:cs="Times New Roman"/>
          <w:color w:val="333333"/>
          <w:sz w:val="24"/>
          <w:szCs w:val="24"/>
        </w:rPr>
        <w:t xml:space="preserve">, and inscriptions on them are printed in gold </w:t>
      </w:r>
      <w:proofErr w:type="spellStart"/>
      <w:r w:rsidRPr="00F84378">
        <w:rPr>
          <w:rFonts w:ascii="Arial Narrow" w:eastAsia="Times New Roman" w:hAnsi="Arial Narrow" w:cs="Times New Roman"/>
          <w:color w:val="333333"/>
          <w:sz w:val="24"/>
          <w:szCs w:val="24"/>
        </w:rPr>
        <w:t>colour</w:t>
      </w:r>
      <w:proofErr w:type="spellEnd"/>
      <w:r w:rsidRPr="00F84378">
        <w:rPr>
          <w:rFonts w:ascii="Arial Narrow" w:eastAsia="Times New Roman" w:hAnsi="Arial Narrow" w:cs="Times New Roman"/>
          <w:color w:val="333333"/>
          <w:sz w:val="24"/>
          <w:szCs w:val="24"/>
        </w:rPr>
        <w:t>. The inscriptions on covers differ, depending on the type of passport (civil, diplomatic and service). There is the ICAO sign on the front cover for E-passport.</w:t>
      </w:r>
    </w:p>
    <w:p w:rsidR="00F84378" w:rsidRPr="00F84378" w:rsidRDefault="00F84378" w:rsidP="00F84378">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3810635" cy="1409700"/>
            <wp:effectExtent l="0" t="0" r="0" b="0"/>
            <wp:docPr id="6" name="Picture 6" descr="https://www.iddeea.gov.ba/images/stories/kor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ddeea.gov.ba/images/stories/koric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635" cy="1409700"/>
                    </a:xfrm>
                    <a:prstGeom prst="rect">
                      <a:avLst/>
                    </a:prstGeom>
                    <a:noFill/>
                    <a:ln>
                      <a:noFill/>
                    </a:ln>
                  </pic:spPr>
                </pic:pic>
              </a:graphicData>
            </a:graphic>
          </wp:inline>
        </w:drawing>
      </w:r>
    </w:p>
    <w:p w:rsidR="00F84378" w:rsidRPr="00F84378" w:rsidRDefault="00F84378" w:rsidP="00F84378">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3810635" cy="1419860"/>
            <wp:effectExtent l="0" t="0" r="0" b="8890"/>
            <wp:docPr id="5" name="Picture 5" descr="https://www.iddeea.gov.ba/images/stories/kor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ddeea.gov.ba/images/stories/korice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635" cy="1419860"/>
                    </a:xfrm>
                    <a:prstGeom prst="rect">
                      <a:avLst/>
                    </a:prstGeom>
                    <a:noFill/>
                    <a:ln>
                      <a:noFill/>
                    </a:ln>
                  </pic:spPr>
                </pic:pic>
              </a:graphicData>
            </a:graphic>
          </wp:inline>
        </w:drawing>
      </w:r>
    </w:p>
    <w:p w:rsidR="00F84378" w:rsidRPr="00F84378" w:rsidRDefault="00F84378" w:rsidP="00F84378">
      <w:pPr>
        <w:shd w:val="clear" w:color="auto" w:fill="FFFFFF"/>
        <w:spacing w:before="240" w:after="240" w:line="240" w:lineRule="auto"/>
        <w:rPr>
          <w:rFonts w:ascii="Verdana" w:eastAsia="Times New Roman" w:hAnsi="Verdana" w:cs="Times New Roman"/>
          <w:color w:val="333333"/>
          <w:sz w:val="17"/>
          <w:szCs w:val="17"/>
        </w:rPr>
      </w:pPr>
      <w:r w:rsidRPr="00F84378">
        <w:rPr>
          <w:rFonts w:ascii="Verdana" w:eastAsia="Times New Roman" w:hAnsi="Verdana" w:cs="Times New Roman"/>
          <w:color w:val="333333"/>
          <w:sz w:val="17"/>
          <w:szCs w:val="17"/>
        </w:rPr>
        <w:t> </w:t>
      </w:r>
    </w:p>
    <w:p w:rsidR="00F84378" w:rsidRPr="00F84378" w:rsidRDefault="00F84378" w:rsidP="00F84378">
      <w:pPr>
        <w:shd w:val="clear" w:color="auto" w:fill="FFFFFF"/>
        <w:spacing w:before="240" w:after="240" w:line="240" w:lineRule="auto"/>
        <w:jc w:val="center"/>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Endpaper</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endpaper </w:t>
      </w:r>
      <w:r w:rsidRPr="00F84378">
        <w:rPr>
          <w:rFonts w:ascii="Arial Narrow" w:eastAsia="Times New Roman" w:hAnsi="Arial Narrow" w:cs="Times New Roman"/>
          <w:color w:val="333333"/>
          <w:sz w:val="24"/>
          <w:szCs w:val="24"/>
        </w:rPr>
        <w:t>is made of protective paper. The background security printing contains positive and negative micro lettering, as well as the intaglio print which can be felt. The paper contains motives that can be seen under UV and IR light, as well as a motive printed in optically variable color.</w:t>
      </w:r>
    </w:p>
    <w:p w:rsidR="00F84378" w:rsidRPr="00F84378" w:rsidRDefault="00F84378" w:rsidP="00F84378">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3810635" cy="2564130"/>
            <wp:effectExtent l="0" t="0" r="0" b="7620"/>
            <wp:docPr id="4" name="Picture 4" descr="https://www.iddeea.gov.ba/images/stories/uk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ddeea.gov.ba/images/stories/ukor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635" cy="2564130"/>
                    </a:xfrm>
                    <a:prstGeom prst="rect">
                      <a:avLst/>
                    </a:prstGeom>
                    <a:noFill/>
                    <a:ln>
                      <a:noFill/>
                    </a:ln>
                  </pic:spPr>
                </pic:pic>
              </a:graphicData>
            </a:graphic>
          </wp:inline>
        </w:drawing>
      </w:r>
    </w:p>
    <w:p w:rsidR="00F84378" w:rsidRPr="00F84378" w:rsidRDefault="00F84378" w:rsidP="00F84378">
      <w:pPr>
        <w:shd w:val="clear" w:color="auto" w:fill="FFFFFF"/>
        <w:spacing w:before="240" w:after="240" w:line="240" w:lineRule="auto"/>
        <w:jc w:val="center"/>
        <w:rPr>
          <w:rFonts w:ascii="Verdana" w:eastAsia="Times New Roman" w:hAnsi="Verdana" w:cs="Times New Roman"/>
          <w:color w:val="333333"/>
          <w:sz w:val="17"/>
          <w:szCs w:val="17"/>
        </w:rPr>
      </w:pPr>
      <w:r w:rsidRPr="00F84378">
        <w:rPr>
          <w:rFonts w:ascii="Verdana" w:eastAsia="Times New Roman" w:hAnsi="Verdana" w:cs="Times New Roman"/>
          <w:color w:val="333333"/>
          <w:sz w:val="17"/>
          <w:szCs w:val="17"/>
        </w:rPr>
        <w:t> </w:t>
      </w:r>
    </w:p>
    <w:p w:rsidR="00F84378" w:rsidRPr="00F84378" w:rsidRDefault="00F84378" w:rsidP="00F84378">
      <w:pPr>
        <w:shd w:val="clear" w:color="auto" w:fill="FFFFFF"/>
        <w:spacing w:before="240" w:after="240" w:line="240" w:lineRule="auto"/>
        <w:jc w:val="center"/>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Title Page</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title page </w:t>
      </w:r>
      <w:r w:rsidRPr="00F84378">
        <w:rPr>
          <w:rFonts w:ascii="Arial Narrow" w:eastAsia="Times New Roman" w:hAnsi="Arial Narrow" w:cs="Times New Roman"/>
          <w:color w:val="333333"/>
          <w:sz w:val="24"/>
          <w:szCs w:val="24"/>
        </w:rPr>
        <w:t xml:space="preserve">contains numbering with a bar-code, as well as number which </w:t>
      </w:r>
      <w:proofErr w:type="gramStart"/>
      <w:r w:rsidRPr="00F84378">
        <w:rPr>
          <w:rFonts w:ascii="Arial Narrow" w:eastAsia="Times New Roman" w:hAnsi="Arial Narrow" w:cs="Times New Roman"/>
          <w:color w:val="333333"/>
          <w:sz w:val="24"/>
          <w:szCs w:val="24"/>
        </w:rPr>
        <w:t>fluoresces</w:t>
      </w:r>
      <w:proofErr w:type="gramEnd"/>
      <w:r w:rsidRPr="00F84378">
        <w:rPr>
          <w:rFonts w:ascii="Arial Narrow" w:eastAsia="Times New Roman" w:hAnsi="Arial Narrow" w:cs="Times New Roman"/>
          <w:color w:val="333333"/>
          <w:sz w:val="24"/>
          <w:szCs w:val="24"/>
        </w:rPr>
        <w:t xml:space="preserve"> under UV light.</w:t>
      </w:r>
    </w:p>
    <w:p w:rsidR="00F84378" w:rsidRPr="00F84378" w:rsidRDefault="00F84378" w:rsidP="00F84378">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lastRenderedPageBreak/>
        <w:drawing>
          <wp:inline distT="0" distB="0" distL="0" distR="0">
            <wp:extent cx="3810635" cy="4924425"/>
            <wp:effectExtent l="0" t="0" r="0" b="9525"/>
            <wp:docPr id="3" name="Picture 3" descr="https://www.iddeea.gov.ba/images/stories/naslov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ddeea.gov.ba/images/stories/naslovn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635" cy="4924425"/>
                    </a:xfrm>
                    <a:prstGeom prst="rect">
                      <a:avLst/>
                    </a:prstGeom>
                    <a:noFill/>
                    <a:ln>
                      <a:noFill/>
                    </a:ln>
                  </pic:spPr>
                </pic:pic>
              </a:graphicData>
            </a:graphic>
          </wp:inline>
        </w:drawing>
      </w:r>
    </w:p>
    <w:p w:rsidR="00F84378" w:rsidRPr="00F84378" w:rsidRDefault="00F84378" w:rsidP="00F84378">
      <w:pPr>
        <w:shd w:val="clear" w:color="auto" w:fill="FFFFFF"/>
        <w:spacing w:before="240" w:after="240" w:line="240" w:lineRule="auto"/>
        <w:jc w:val="center"/>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Data Page</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data page </w:t>
      </w:r>
      <w:r w:rsidRPr="00F84378">
        <w:rPr>
          <w:rFonts w:ascii="Arial Narrow" w:eastAsia="Times New Roman" w:hAnsi="Arial Narrow" w:cs="Times New Roman"/>
          <w:color w:val="333333"/>
          <w:sz w:val="24"/>
          <w:szCs w:val="24"/>
        </w:rPr>
        <w:t>is made of protective paper with the watermark with the Coat of Arms of Bosnia and Herzegovina and the inscription “BiH”. The data page is personalized with the holders’ personal data. This page contains secondary image (ghost image) and it is protected with transparent kinematic foil.</w:t>
      </w:r>
    </w:p>
    <w:p w:rsidR="00F84378" w:rsidRPr="00F84378" w:rsidRDefault="00F84378" w:rsidP="00F84378">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lastRenderedPageBreak/>
        <w:drawing>
          <wp:inline distT="0" distB="0" distL="0" distR="0">
            <wp:extent cx="3810635" cy="2722880"/>
            <wp:effectExtent l="0" t="0" r="0" b="1270"/>
            <wp:docPr id="2" name="Picture 2" descr="https://www.iddeea.gov.ba/images/stories/stranicapod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ddeea.gov.ba/images/stories/stranicapodac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635" cy="2722880"/>
                    </a:xfrm>
                    <a:prstGeom prst="rect">
                      <a:avLst/>
                    </a:prstGeom>
                    <a:noFill/>
                    <a:ln>
                      <a:noFill/>
                    </a:ln>
                  </pic:spPr>
                </pic:pic>
              </a:graphicData>
            </a:graphic>
          </wp:inline>
        </w:drawing>
      </w:r>
    </w:p>
    <w:p w:rsidR="00F84378" w:rsidRPr="00F84378" w:rsidRDefault="00F84378" w:rsidP="00F84378">
      <w:pPr>
        <w:shd w:val="clear" w:color="auto" w:fill="FFFFFF"/>
        <w:spacing w:before="240" w:after="240" w:line="240" w:lineRule="auto"/>
        <w:jc w:val="center"/>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 xml:space="preserve">Passport </w:t>
      </w:r>
      <w:proofErr w:type="gramStart"/>
      <w:r w:rsidRPr="00F84378">
        <w:rPr>
          <w:rFonts w:ascii="Arial Narrow" w:eastAsia="Times New Roman" w:hAnsi="Arial Narrow" w:cs="Times New Roman"/>
          <w:b/>
          <w:bCs/>
          <w:color w:val="333333"/>
          <w:sz w:val="24"/>
          <w:szCs w:val="24"/>
        </w:rPr>
        <w:t>Inside</w:t>
      </w:r>
      <w:proofErr w:type="gramEnd"/>
      <w:r w:rsidRPr="00F84378">
        <w:rPr>
          <w:rFonts w:ascii="Arial Narrow" w:eastAsia="Times New Roman" w:hAnsi="Arial Narrow" w:cs="Times New Roman"/>
          <w:b/>
          <w:bCs/>
          <w:color w:val="333333"/>
          <w:sz w:val="24"/>
          <w:szCs w:val="24"/>
        </w:rPr>
        <w:t xml:space="preserve"> Pages</w:t>
      </w:r>
    </w:p>
    <w:p w:rsidR="00F84378" w:rsidRPr="00F84378" w:rsidRDefault="00F84378" w:rsidP="00F84378">
      <w:pPr>
        <w:shd w:val="clear" w:color="auto" w:fill="FFFFFF"/>
        <w:spacing w:before="240" w:after="240" w:line="240" w:lineRule="auto"/>
        <w:jc w:val="both"/>
        <w:rPr>
          <w:rFonts w:ascii="Verdana" w:eastAsia="Times New Roman" w:hAnsi="Verdana" w:cs="Times New Roman"/>
          <w:color w:val="333333"/>
          <w:sz w:val="17"/>
          <w:szCs w:val="17"/>
        </w:rPr>
      </w:pPr>
      <w:r w:rsidRPr="00F84378">
        <w:rPr>
          <w:rFonts w:ascii="Arial Narrow" w:eastAsia="Times New Roman" w:hAnsi="Arial Narrow" w:cs="Times New Roman"/>
          <w:b/>
          <w:bCs/>
          <w:color w:val="333333"/>
          <w:sz w:val="24"/>
          <w:szCs w:val="24"/>
        </w:rPr>
        <w:t>Passport inside pages</w:t>
      </w:r>
      <w:r w:rsidRPr="00F84378">
        <w:rPr>
          <w:rFonts w:ascii="Arial Narrow" w:eastAsia="Times New Roman" w:hAnsi="Arial Narrow" w:cs="Times New Roman"/>
          <w:color w:val="333333"/>
          <w:sz w:val="24"/>
          <w:szCs w:val="24"/>
        </w:rPr>
        <w:t xml:space="preserve"> are made of protective paper with the watermark and have an embedded security thread. The inside pages from 3 to 32 are laser perforated with the serial passport number. The background security printing is made up of complex patterns, </w:t>
      </w:r>
      <w:proofErr w:type="spellStart"/>
      <w:r w:rsidRPr="00F84378">
        <w:rPr>
          <w:rFonts w:ascii="Arial Narrow" w:eastAsia="Times New Roman" w:hAnsi="Arial Narrow" w:cs="Times New Roman"/>
          <w:color w:val="333333"/>
          <w:sz w:val="24"/>
          <w:szCs w:val="24"/>
        </w:rPr>
        <w:t>anti copy</w:t>
      </w:r>
      <w:proofErr w:type="spellEnd"/>
      <w:r w:rsidRPr="00F84378">
        <w:rPr>
          <w:rFonts w:ascii="Arial Narrow" w:eastAsia="Times New Roman" w:hAnsi="Arial Narrow" w:cs="Times New Roman"/>
          <w:color w:val="333333"/>
          <w:sz w:val="24"/>
          <w:szCs w:val="24"/>
        </w:rPr>
        <w:t xml:space="preserve"> structures and includes positive and negative micro letters. The passport is bound together by a multi </w:t>
      </w:r>
      <w:proofErr w:type="spellStart"/>
      <w:r w:rsidRPr="00F84378">
        <w:rPr>
          <w:rFonts w:ascii="Arial Narrow" w:eastAsia="Times New Roman" w:hAnsi="Arial Narrow" w:cs="Times New Roman"/>
          <w:color w:val="333333"/>
          <w:sz w:val="24"/>
          <w:szCs w:val="24"/>
        </w:rPr>
        <w:t>coloured</w:t>
      </w:r>
      <w:proofErr w:type="spellEnd"/>
      <w:r w:rsidRPr="00F84378">
        <w:rPr>
          <w:rFonts w:ascii="Arial Narrow" w:eastAsia="Times New Roman" w:hAnsi="Arial Narrow" w:cs="Times New Roman"/>
          <w:color w:val="333333"/>
          <w:sz w:val="24"/>
          <w:szCs w:val="24"/>
        </w:rPr>
        <w:t xml:space="preserve"> thread which fluoresces under UV light. </w:t>
      </w:r>
    </w:p>
    <w:p w:rsidR="00F84378" w:rsidRPr="00F84378" w:rsidRDefault="00F84378" w:rsidP="00F84378">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3810635" cy="2743200"/>
            <wp:effectExtent l="0" t="0" r="0" b="0"/>
            <wp:docPr id="1" name="Picture 1" descr="https://www.iddeea.gov.ba/images/stories/unutr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ddeea.gov.ba/images/stories/unutrst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635" cy="2743200"/>
                    </a:xfrm>
                    <a:prstGeom prst="rect">
                      <a:avLst/>
                    </a:prstGeom>
                    <a:noFill/>
                    <a:ln>
                      <a:noFill/>
                    </a:ln>
                  </pic:spPr>
                </pic:pic>
              </a:graphicData>
            </a:graphic>
          </wp:inline>
        </w:drawing>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5B24"/>
    <w:multiLevelType w:val="multilevel"/>
    <w:tmpl w:val="672C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63"/>
    <w:rsid w:val="0044711C"/>
    <w:rsid w:val="00737BA1"/>
    <w:rsid w:val="00C93B63"/>
    <w:rsid w:val="00E1766E"/>
    <w:rsid w:val="00F84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43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3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84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al">
    <w:name w:val="modal"/>
    <w:basedOn w:val="DefaultParagraphFont"/>
    <w:rsid w:val="00F84378"/>
  </w:style>
  <w:style w:type="character" w:styleId="Hyperlink">
    <w:name w:val="Hyperlink"/>
    <w:basedOn w:val="DefaultParagraphFont"/>
    <w:uiPriority w:val="99"/>
    <w:semiHidden/>
    <w:unhideWhenUsed/>
    <w:rsid w:val="00F84378"/>
    <w:rPr>
      <w:color w:val="0000FF"/>
      <w:u w:val="single"/>
    </w:rPr>
  </w:style>
  <w:style w:type="character" w:styleId="Strong">
    <w:name w:val="Strong"/>
    <w:basedOn w:val="DefaultParagraphFont"/>
    <w:uiPriority w:val="22"/>
    <w:qFormat/>
    <w:rsid w:val="00F84378"/>
    <w:rPr>
      <w:b/>
      <w:bCs/>
    </w:rPr>
  </w:style>
  <w:style w:type="paragraph" w:styleId="BalloonText">
    <w:name w:val="Balloon Text"/>
    <w:basedOn w:val="Normal"/>
    <w:link w:val="BalloonTextChar"/>
    <w:uiPriority w:val="99"/>
    <w:semiHidden/>
    <w:unhideWhenUsed/>
    <w:rsid w:val="00F84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43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3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84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al">
    <w:name w:val="modal"/>
    <w:basedOn w:val="DefaultParagraphFont"/>
    <w:rsid w:val="00F84378"/>
  </w:style>
  <w:style w:type="character" w:styleId="Hyperlink">
    <w:name w:val="Hyperlink"/>
    <w:basedOn w:val="DefaultParagraphFont"/>
    <w:uiPriority w:val="99"/>
    <w:semiHidden/>
    <w:unhideWhenUsed/>
    <w:rsid w:val="00F84378"/>
    <w:rPr>
      <w:color w:val="0000FF"/>
      <w:u w:val="single"/>
    </w:rPr>
  </w:style>
  <w:style w:type="character" w:styleId="Strong">
    <w:name w:val="Strong"/>
    <w:basedOn w:val="DefaultParagraphFont"/>
    <w:uiPriority w:val="22"/>
    <w:qFormat/>
    <w:rsid w:val="00F84378"/>
    <w:rPr>
      <w:b/>
      <w:bCs/>
    </w:rPr>
  </w:style>
  <w:style w:type="paragraph" w:styleId="BalloonText">
    <w:name w:val="Balloon Text"/>
    <w:basedOn w:val="Normal"/>
    <w:link w:val="BalloonTextChar"/>
    <w:uiPriority w:val="99"/>
    <w:semiHidden/>
    <w:unhideWhenUsed/>
    <w:rsid w:val="00F84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5614">
      <w:bodyDiv w:val="1"/>
      <w:marLeft w:val="0"/>
      <w:marRight w:val="0"/>
      <w:marTop w:val="0"/>
      <w:marBottom w:val="0"/>
      <w:divBdr>
        <w:top w:val="none" w:sz="0" w:space="0" w:color="auto"/>
        <w:left w:val="none" w:sz="0" w:space="0" w:color="auto"/>
        <w:bottom w:val="none" w:sz="0" w:space="0" w:color="auto"/>
        <w:right w:val="none" w:sz="0" w:space="0" w:color="auto"/>
      </w:divBdr>
      <w:divsChild>
        <w:div w:id="40496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deea.gov.ba/images/stories/PDF/laws/law_on_amd_%20t_%20the_law_on_td_9-99.pdf" TargetMode="External"/><Relationship Id="rId13" Type="http://schemas.openxmlformats.org/officeDocument/2006/relationships/hyperlink" Target="https://www.iddeea.gov.ba/images/stories/PDF/laws/law_on_amendments_to_the_law_47-04.pdf"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s://www.iddeea.gov.ba/images/stories/PDF/laws/law_on_amds_to_the_law_on_td_1-99.pdf" TargetMode="External"/><Relationship Id="rId12" Type="http://schemas.openxmlformats.org/officeDocument/2006/relationships/hyperlink" Target="https://www.iddeea.gov.ba/images/stories/PDF/laws/law_on_amendments_to_the_law_19-01.pdf" TargetMode="External"/><Relationship Id="rId17" Type="http://schemas.openxmlformats.org/officeDocument/2006/relationships/hyperlink" Target="https://www.iddeea.gov.ba/images/stories/PDF/laws/correction_of_the_law_on_td_39-0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ddeea.gov.ba/images/stories/PDF/laws/law_on_amds_to_the_law_on_td_33-08.pdf"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iddeea.gov.ba/images/stories/PDF/laws/law_on_travel_documents_of_bih_4-97.pdf" TargetMode="External"/><Relationship Id="rId11" Type="http://schemas.openxmlformats.org/officeDocument/2006/relationships/hyperlink" Target="https://www.iddeea.gov.ba/images/stories/PDF/laws/law_on_amendment_to_the_law_19-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ddeea.gov.ba/images/stories/PDF/laws/law_on_amendments_to_the_law_15-08.pdf" TargetMode="External"/><Relationship Id="rId23" Type="http://schemas.openxmlformats.org/officeDocument/2006/relationships/image" Target="media/image6.jpeg"/><Relationship Id="rId10" Type="http://schemas.openxmlformats.org/officeDocument/2006/relationships/hyperlink" Target="https://www.iddeea.gov.ba/images/stories/PDF/laws/decision_amending_the_law_on_td_32-00.pdf"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iddeea.gov.ba/images/stories/PDF/laws/decision_of_hr_on_law_on_td_27-00.pdf" TargetMode="External"/><Relationship Id="rId14" Type="http://schemas.openxmlformats.org/officeDocument/2006/relationships/hyperlink" Target="https://www.iddeea.gov.ba/images/stories/PDF/laws/decision_of_hr_on_the_law_on_td_53-07.pdf"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2023-03-29T13:08:00Z</dcterms:created>
  <dcterms:modified xsi:type="dcterms:W3CDTF">2023-03-29T13:08:00Z</dcterms:modified>
</cp:coreProperties>
</file>