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82" w:rsidRPr="00493D64" w:rsidRDefault="00D54582" w:rsidP="00D5458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Opći podaci</w:t>
      </w: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bCs/>
          <w:color w:val="333333"/>
          <w:lang w:val="bs-Latn-BA"/>
        </w:rPr>
        <w:t>1.AGENCIJA ZA IDENTIFIKACIONE DOKUMENTE, EVIDENCIJU I RAZMJENU PODATAKA BIH</w:t>
      </w: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Parlamentarna skupština Bosne i Hercegovine, na 30. sjednici Zastupničkog doma, održanoj 04.06.2008. godine i na 18. Sjednici Doma naroda, održanoj 17.06.2008. godine, usvojila je Zakon o Agenciji za identifikacione dokumente, evidenciju i razmjenu podataka Bosne i Hercegovine (u daljem tekstu: Agencija), („Službeni glasnik BiH“, broj: 56/08).</w:t>
      </w: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Zakon je stupio na snagu 22.07.2008. godine, a time je prestala da važi Odluka o osnivanju Direkcije za implementaciju CIPS projekta.</w:t>
      </w: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br/>
      </w:r>
      <w:r w:rsidRPr="00493D64">
        <w:rPr>
          <w:rFonts w:ascii="Times New Roman" w:eastAsia="Times New Roman" w:hAnsi="Times New Roman" w:cs="Times New Roman"/>
          <w:bCs/>
          <w:color w:val="333333"/>
          <w:lang w:val="bs-Latn-BA"/>
        </w:rPr>
        <w:t>2.TRANSFORMACIJA DIREKCIJE CIPS U AGENCIJU</w:t>
      </w: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Direkcija za implementaciju CIPS projekta (Citizen Identification Protection System) osnovana je 29. aprila 2002. godine Odlukom Vijeća ministara (objavljenoj u „Službenom glasniku BiH“ broj 12/02) kao privremena institucija, a Zakonom o ministarstvima i drugim organima uprave BiH („Službeni glasnik BiH“ broj 5/03) definirana je kao samostalna služba u okviru Ministarstva civilnih poslova. Sjedište Direkcije je bilo u Sarajevu. Za prvog direktora imenovan je dr Mirko Škrbić, a za pomoćnike Anton Rill i Amila Tahirbegović. U periodu od septembra 2005. do maja 2006. godine Direkciju je vodila Amila Tahirbegović. U junu 2006. godine na čelo Direkcije dolazi Siniša Macan, drugi i posljednji direktor Direkcije za implementaciju CIPS projekta, a prvi direktor buduće Agencije za identifikacione dokumente, evidenciju i razmjenu podataka BiH, pravne nasljednice Direkcije CIPS. Osnovni zadatak Direkcije CIPS bio je implementacija CIPS projekta, odnosno uspostava dijela sistema kojim bi se implementirao dio Zakona o centralnoj evidenciji i razmjeni podataka. Direkcija je osnovana kao privremeno tijelo i bilo je planirano da nakon završetka implementacije CIPS projekta prestane sa radom. Međutim, svojim aktivnostima od 2002. godine, a kroz razne zakone, memorandume i odluke Vijeća ministara, Direkcija CIPS je prerasla svoju prvobitnu namjenu, implementirala je mnogo više projekata nego što je to bilo prvobitno predviđeno i održavala je veliki sistem. Shodno tome, a prema strategiji razvoja identifikacionih dokumenata, izrađen je zakon koji uspostavlja Agenciju za identifikacione dokumente, evidenciju i razmjenu podataka BiH. Osnivanjem ove agencije na nivou BiH je formirana institucija koja prati, koordinira i institucionalno regulira oblast razvoja identifikacionih dokumenata, prati relevantne standarde i regulative Evropske unije i razvoj u skladu sa tim standardima. Također, ovim zakonom je oblast identifikacionih dokumenata i centralnih evidencija u BiH rješena u skladu sa evropskim regulativama, te je sistemski i dugoročno regulirana ova oblast vezana za evropske integracije.</w:t>
      </w: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bCs/>
          <w:color w:val="333333"/>
          <w:lang w:val="bs-Latn-BA"/>
        </w:rPr>
        <w:t>3. NADLEŽNOSTI AGENCIJE</w:t>
      </w: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Agencija obavlja sljedeće poslove:</w:t>
      </w:r>
    </w:p>
    <w:p w:rsidR="00D54582" w:rsidRPr="00493D64" w:rsidRDefault="00D54582" w:rsidP="00D54582">
      <w:pPr>
        <w:numPr>
          <w:ilvl w:val="0"/>
          <w:numId w:val="1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predlaže i provodi strategiju i politiku razvoja u Bosni i Hercegovini u oblasti identifikacionih dokumenata, a prema ICAO 9303 standardu i drugim relevantnim standardima;</w:t>
      </w:r>
    </w:p>
    <w:p w:rsidR="00D54582" w:rsidRPr="00493D64" w:rsidRDefault="00D54582" w:rsidP="00D54582">
      <w:pPr>
        <w:numPr>
          <w:ilvl w:val="0"/>
          <w:numId w:val="1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vrši nabavku, skladištenje, personalizaciju, kontrolu kvalitete i transport identifikacionih dokumenata za potrebe nadležnih organa Bosne i Hercegovine;</w:t>
      </w:r>
    </w:p>
    <w:p w:rsidR="00D54582" w:rsidRPr="00493D64" w:rsidRDefault="00D54582" w:rsidP="00D54582">
      <w:pPr>
        <w:numPr>
          <w:ilvl w:val="0"/>
          <w:numId w:val="1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tehnički dizajnira i formira evidencije definirane ovim zakonom;</w:t>
      </w:r>
    </w:p>
    <w:p w:rsidR="00D54582" w:rsidRPr="00493D64" w:rsidRDefault="00D54582" w:rsidP="00D54582">
      <w:pPr>
        <w:numPr>
          <w:ilvl w:val="0"/>
          <w:numId w:val="1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održava i upravlja bazama podataka u koje se pohranjuju podaci iz evidencija koje su definirane ovim zakonom i informacionih sistema, putem kojih se pristupa navedenim evidencijama;</w:t>
      </w:r>
    </w:p>
    <w:p w:rsidR="00D54582" w:rsidRPr="00493D64" w:rsidRDefault="00D54582" w:rsidP="00D54582">
      <w:pPr>
        <w:numPr>
          <w:ilvl w:val="0"/>
          <w:numId w:val="1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osigurava adekvatnu infrastrukturu, posebne uslove za rad i zaštitu podataka, te druge tehničke preduslove za nesmetano funkcioniranje baza podataka koje su u njenoj nadležnosti i baza podataka koje su u nadležnosti drugih ministarstava, institucija i organa na njihov zahtjev i u skladu sa zakonom;</w:t>
      </w:r>
    </w:p>
    <w:p w:rsidR="00D54582" w:rsidRPr="00493D64" w:rsidRDefault="00D54582" w:rsidP="00D54582">
      <w:pPr>
        <w:numPr>
          <w:ilvl w:val="0"/>
          <w:numId w:val="1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izdaje podatke o evidencijama i iz evidencija ovlaštenim institucijama i pravnim licima; s</w:t>
      </w:r>
    </w:p>
    <w:p w:rsidR="00D54582" w:rsidRPr="00493D64" w:rsidRDefault="00D54582" w:rsidP="00D54582">
      <w:pPr>
        <w:numPr>
          <w:ilvl w:val="0"/>
          <w:numId w:val="1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lastRenderedPageBreak/>
        <w:t>projektira, razvija i održava softverska rješenja potrebna za vođenje evidencija u nadležnosti Agencije, bilo internim resursima, saradnjom sa izvornim organima ili angažmanom kompanija;</w:t>
      </w:r>
    </w:p>
    <w:p w:rsidR="00D54582" w:rsidRPr="00493D64" w:rsidRDefault="00D54582" w:rsidP="00D54582">
      <w:pPr>
        <w:numPr>
          <w:ilvl w:val="0"/>
          <w:numId w:val="1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razvija, održava i unaprjeđuje telekomunikacione mreže za prijenos podataka za potrebe Agencije, te drugih organa javne sigurnosti u skladu sa Zakonom o telekomunikacijama, a kako bi se omogućila efikasna razmjena podataka iz registara definiranih ovim zakonom;</w:t>
      </w:r>
    </w:p>
    <w:p w:rsidR="00D54582" w:rsidRPr="00493D64" w:rsidRDefault="00D54582" w:rsidP="00D54582">
      <w:pPr>
        <w:numPr>
          <w:ilvl w:val="0"/>
          <w:numId w:val="1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definira standarde za opremu koju će nadležni, prijemni i izvorni organi nabavljati i koristiti u procesu obrade i razmjene podataka u skladu s ovim zakonom;</w:t>
      </w:r>
    </w:p>
    <w:p w:rsidR="00D54582" w:rsidRPr="00493D64" w:rsidRDefault="00D54582" w:rsidP="00D54582">
      <w:pPr>
        <w:numPr>
          <w:ilvl w:val="0"/>
          <w:numId w:val="1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definira standarde što je neophodno na lokacijama s kojih se vrši pristup sistemu centralne evidencije i razmjene podataka kako bi se postigla sigurnost i zaštita podataka i sistema;</w:t>
      </w:r>
    </w:p>
    <w:p w:rsidR="00D54582" w:rsidRPr="00493D64" w:rsidRDefault="00D54582" w:rsidP="00D54582">
      <w:pPr>
        <w:numPr>
          <w:ilvl w:val="0"/>
          <w:numId w:val="1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provodi upravne postupke koji se tiču djelokruga Agencije u skladu s važećim zakonskim propisima.</w:t>
      </w: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br/>
        <w:t>Agencija je nadležna za personalizaciju i tehničku obradu sljedećih identifikacionih dokumenata:</w:t>
      </w:r>
    </w:p>
    <w:p w:rsidR="00D54582" w:rsidRPr="00493D64" w:rsidRDefault="00D54582" w:rsidP="00D54582">
      <w:pPr>
        <w:numPr>
          <w:ilvl w:val="0"/>
          <w:numId w:val="2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ličnih karata,</w:t>
      </w:r>
    </w:p>
    <w:p w:rsidR="00D54582" w:rsidRPr="00493D64" w:rsidRDefault="00D54582" w:rsidP="00D54582">
      <w:pPr>
        <w:numPr>
          <w:ilvl w:val="0"/>
          <w:numId w:val="2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ličnih karata za strance,</w:t>
      </w:r>
    </w:p>
    <w:p w:rsidR="00D54582" w:rsidRPr="00493D64" w:rsidRDefault="00D54582" w:rsidP="00D54582">
      <w:pPr>
        <w:numPr>
          <w:ilvl w:val="0"/>
          <w:numId w:val="2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vozačkih dozvola,</w:t>
      </w:r>
    </w:p>
    <w:p w:rsidR="00D54582" w:rsidRPr="00493D64" w:rsidRDefault="00D54582" w:rsidP="00D54582">
      <w:pPr>
        <w:numPr>
          <w:ilvl w:val="0"/>
          <w:numId w:val="2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putnih isprava,</w:t>
      </w:r>
    </w:p>
    <w:p w:rsidR="00D54582" w:rsidRPr="00493D64" w:rsidRDefault="00D54582" w:rsidP="00D54582">
      <w:pPr>
        <w:numPr>
          <w:ilvl w:val="0"/>
          <w:numId w:val="2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pogranične propusnice,</w:t>
      </w:r>
    </w:p>
    <w:p w:rsidR="00D54582" w:rsidRPr="00493D64" w:rsidRDefault="00D54582" w:rsidP="00D54582">
      <w:pPr>
        <w:numPr>
          <w:ilvl w:val="0"/>
          <w:numId w:val="2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tahografske kartice,</w:t>
      </w:r>
    </w:p>
    <w:p w:rsidR="00D54582" w:rsidRPr="00493D64" w:rsidRDefault="00D54582" w:rsidP="00D54582">
      <w:pPr>
        <w:numPr>
          <w:ilvl w:val="0"/>
          <w:numId w:val="2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dokumenata za registraciju vozila,</w:t>
      </w:r>
    </w:p>
    <w:p w:rsidR="00D54582" w:rsidRPr="00493D64" w:rsidRDefault="00D54582" w:rsidP="00D54582">
      <w:pPr>
        <w:numPr>
          <w:ilvl w:val="0"/>
          <w:numId w:val="2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drugih identifikacionih dokumenata uz saglasnost nadležnih organa i posebnu odluku Vijeća ministara.</w:t>
      </w:r>
    </w:p>
    <w:p w:rsidR="00D54582" w:rsidRPr="00493D64" w:rsidRDefault="00D54582" w:rsidP="00D54582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Agencija vodi evidenciju*:</w:t>
      </w:r>
      <w:bookmarkStart w:id="0" w:name="_GoBack"/>
      <w:bookmarkEnd w:id="0"/>
    </w:p>
    <w:p w:rsidR="00D54582" w:rsidRPr="00493D64" w:rsidRDefault="00D54582" w:rsidP="00D54582">
      <w:pPr>
        <w:numPr>
          <w:ilvl w:val="0"/>
          <w:numId w:val="3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jedinstvenih matičnih brojeva (JMB);</w:t>
      </w:r>
    </w:p>
    <w:p w:rsidR="00D54582" w:rsidRPr="00493D64" w:rsidRDefault="00D54582" w:rsidP="00D54582">
      <w:pPr>
        <w:numPr>
          <w:ilvl w:val="0"/>
          <w:numId w:val="3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prebivališta i boravišta državljana Bosne i Hercegovine;</w:t>
      </w:r>
    </w:p>
    <w:p w:rsidR="00D54582" w:rsidRPr="00493D64" w:rsidRDefault="00D54582" w:rsidP="00D54582">
      <w:pPr>
        <w:numPr>
          <w:ilvl w:val="0"/>
          <w:numId w:val="3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ličnih karata državljana Bosne i Hercegovine;</w:t>
      </w:r>
    </w:p>
    <w:p w:rsidR="00D54582" w:rsidRPr="00493D64" w:rsidRDefault="00D54582" w:rsidP="00D54582">
      <w:pPr>
        <w:numPr>
          <w:ilvl w:val="0"/>
          <w:numId w:val="3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građanskih, službenih i diplomatskih pasoša;</w:t>
      </w:r>
    </w:p>
    <w:p w:rsidR="00D54582" w:rsidRPr="00493D64" w:rsidRDefault="00D54582" w:rsidP="00D54582">
      <w:pPr>
        <w:numPr>
          <w:ilvl w:val="0"/>
          <w:numId w:val="3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vozačkih dozvola;</w:t>
      </w:r>
    </w:p>
    <w:p w:rsidR="00D54582" w:rsidRPr="00493D64" w:rsidRDefault="00D54582" w:rsidP="00D54582">
      <w:pPr>
        <w:numPr>
          <w:ilvl w:val="0"/>
          <w:numId w:val="3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registracije motornih vozila i dokumenata za registraciju;</w:t>
      </w:r>
    </w:p>
    <w:p w:rsidR="00D54582" w:rsidRPr="00493D64" w:rsidRDefault="00D54582" w:rsidP="00D54582">
      <w:pPr>
        <w:numPr>
          <w:ilvl w:val="0"/>
          <w:numId w:val="3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ličnih karata za strane državljane;</w:t>
      </w:r>
    </w:p>
    <w:p w:rsidR="00D54582" w:rsidRPr="00493D64" w:rsidRDefault="00D54582" w:rsidP="00D54582">
      <w:pPr>
        <w:numPr>
          <w:ilvl w:val="0"/>
          <w:numId w:val="3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novčanih kazni i prekršajnu evidenciju;</w:t>
      </w:r>
    </w:p>
    <w:p w:rsidR="00D54582" w:rsidRPr="00493D64" w:rsidRDefault="00D54582" w:rsidP="00D54582">
      <w:pPr>
        <w:numPr>
          <w:ilvl w:val="0"/>
          <w:numId w:val="3"/>
        </w:numPr>
        <w:shd w:val="clear" w:color="auto" w:fill="FFFFFF"/>
        <w:spacing w:after="0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i druge evidencije za koje postoji saglasnost izvornih organa, a uz posebnu odluku Vijeća ministara.</w:t>
      </w: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br/>
        <w:t>Agencija je isključivo nadležna za tehničko održavanje i elektronsko arhiviranje podataka i informacija koje se vode u evidencijama*, kao javnog dobra na nivou Bosne i Hercegovine.</w:t>
      </w: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Agencija nije vlasnik podataka pohranjenih u evidencijama*, nego je to izvorni organ.</w:t>
      </w: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Agencija je nadležna za digitalno potpisivanje u oblasti identifikacionih dokumenata, odnosno zadužena je za elektronske certifikate i elektronske potpise vezano za identifikaciona dokumenata, u skladu sa zakonom kojim se regulira elektronski potpis.</w:t>
      </w: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Agencija je nadležna za saradnju s međunarodnim institucijama zaduženim za oblast identifikacionih dokumenata.</w:t>
      </w: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bCs/>
          <w:color w:val="333333"/>
          <w:lang w:val="bs-Latn-BA"/>
        </w:rPr>
        <w:t>4. SJEDIŠTE AGENCIJE</w:t>
      </w: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D54582" w:rsidRPr="00493D64" w:rsidRDefault="00D54582" w:rsidP="00D54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val="bs-Latn-BA"/>
        </w:rPr>
      </w:pPr>
      <w:r w:rsidRPr="00493D64">
        <w:rPr>
          <w:rFonts w:ascii="Times New Roman" w:eastAsia="Times New Roman" w:hAnsi="Times New Roman" w:cs="Times New Roman"/>
          <w:color w:val="333333"/>
          <w:lang w:val="bs-Latn-BA"/>
        </w:rPr>
        <w:t>Sjedište Agencije je u Banjaluci.</w:t>
      </w:r>
    </w:p>
    <w:p w:rsidR="00E1766E" w:rsidRPr="00493D64" w:rsidRDefault="00E1766E" w:rsidP="00D54582">
      <w:pPr>
        <w:spacing w:after="0"/>
        <w:jc w:val="both"/>
        <w:rPr>
          <w:rFonts w:ascii="Times New Roman" w:hAnsi="Times New Roman" w:cs="Times New Roman"/>
          <w:lang w:val="bs-Latn-BA"/>
        </w:rPr>
      </w:pPr>
    </w:p>
    <w:sectPr w:rsidR="00E1766E" w:rsidRPr="00493D64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6ED"/>
    <w:multiLevelType w:val="multilevel"/>
    <w:tmpl w:val="CF3C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F2422"/>
    <w:multiLevelType w:val="multilevel"/>
    <w:tmpl w:val="C15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60013"/>
    <w:multiLevelType w:val="multilevel"/>
    <w:tmpl w:val="1400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DE"/>
    <w:rsid w:val="00304DDE"/>
    <w:rsid w:val="0044711C"/>
    <w:rsid w:val="00493D64"/>
    <w:rsid w:val="00737BA1"/>
    <w:rsid w:val="00D54582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4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45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4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4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45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4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3</cp:revision>
  <dcterms:created xsi:type="dcterms:W3CDTF">2022-10-06T12:37:00Z</dcterms:created>
  <dcterms:modified xsi:type="dcterms:W3CDTF">2022-10-07T06:32:00Z</dcterms:modified>
</cp:coreProperties>
</file>