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2DBB2" w14:textId="77777777" w:rsidR="001F77DD" w:rsidRDefault="001F77DD">
      <w:pPr>
        <w:spacing w:after="0" w:line="360" w:lineRule="auto"/>
        <w:jc w:val="both"/>
        <w:rPr>
          <w:rFonts w:ascii="Arial" w:eastAsia="Calibri" w:hAnsi="Arial" w:cs="Arial"/>
          <w:sz w:val="20"/>
          <w:szCs w:val="20"/>
          <w:lang w:val="sr-Latn-BA"/>
        </w:rPr>
      </w:pPr>
    </w:p>
    <w:p w14:paraId="7592EB3E" w14:textId="77777777" w:rsidR="001F77DD" w:rsidRDefault="001F77DD">
      <w:pPr>
        <w:spacing w:after="0" w:line="360" w:lineRule="auto"/>
        <w:jc w:val="both"/>
        <w:rPr>
          <w:rFonts w:ascii="Arial" w:eastAsia="Calibri" w:hAnsi="Arial" w:cs="Arial"/>
          <w:sz w:val="20"/>
          <w:szCs w:val="20"/>
          <w:lang w:val="sr-Latn-BA"/>
        </w:rPr>
      </w:pPr>
    </w:p>
    <w:p w14:paraId="2057907A" w14:textId="77777777" w:rsidR="001F77DD" w:rsidRDefault="001F77DD">
      <w:pPr>
        <w:spacing w:after="0" w:line="360" w:lineRule="auto"/>
        <w:jc w:val="both"/>
        <w:rPr>
          <w:rFonts w:ascii="Arial" w:eastAsia="Calibri" w:hAnsi="Arial" w:cs="Arial"/>
          <w:sz w:val="20"/>
          <w:szCs w:val="20"/>
          <w:lang w:val="sr-Latn-BA"/>
        </w:rPr>
      </w:pPr>
    </w:p>
    <w:p w14:paraId="5A4E61F9" w14:textId="77777777" w:rsidR="001F77DD" w:rsidRDefault="001F77DD">
      <w:pPr>
        <w:spacing w:after="0" w:line="360" w:lineRule="auto"/>
        <w:jc w:val="both"/>
        <w:rPr>
          <w:rFonts w:ascii="Arial" w:eastAsia="Calibri" w:hAnsi="Arial" w:cs="Arial"/>
          <w:sz w:val="20"/>
          <w:szCs w:val="20"/>
          <w:lang w:val="sr-Latn-BA"/>
        </w:rPr>
      </w:pPr>
    </w:p>
    <w:p w14:paraId="0C117C81" w14:textId="77777777" w:rsidR="001F77DD" w:rsidRDefault="001F77DD">
      <w:pPr>
        <w:spacing w:after="0" w:line="360" w:lineRule="auto"/>
        <w:jc w:val="both"/>
        <w:rPr>
          <w:rFonts w:ascii="Arial" w:eastAsia="Calibri" w:hAnsi="Arial" w:cs="Arial"/>
          <w:sz w:val="36"/>
          <w:szCs w:val="36"/>
          <w:lang w:val="sr-Latn-BA"/>
        </w:rPr>
      </w:pPr>
    </w:p>
    <w:p w14:paraId="15E21BAF" w14:textId="5448A364" w:rsidR="001F77DD" w:rsidRDefault="00D97F9C">
      <w:pPr>
        <w:spacing w:after="0" w:line="360" w:lineRule="auto"/>
        <w:jc w:val="right"/>
        <w:rPr>
          <w:rFonts w:ascii="Arial" w:eastAsia="Calibri" w:hAnsi="Arial" w:cs="Arial"/>
          <w:sz w:val="36"/>
          <w:szCs w:val="36"/>
          <w:lang w:val="sr-Latn-BA"/>
        </w:rPr>
      </w:pPr>
      <w:r>
        <w:rPr>
          <w:rFonts w:ascii="Arial" w:eastAsia="Calibri" w:hAnsi="Arial" w:cs="Arial"/>
          <w:sz w:val="36"/>
          <w:szCs w:val="36"/>
          <w:lang w:val="sr-Latn-BA"/>
        </w:rPr>
        <w:t>PRIJEDLOG</w:t>
      </w:r>
    </w:p>
    <w:p w14:paraId="1E4CD29B" w14:textId="77777777" w:rsidR="001F77DD" w:rsidRDefault="001F77DD">
      <w:pPr>
        <w:spacing w:after="0" w:line="360" w:lineRule="auto"/>
        <w:jc w:val="both"/>
        <w:rPr>
          <w:rFonts w:ascii="Arial" w:eastAsia="Calibri" w:hAnsi="Arial" w:cs="Arial"/>
          <w:sz w:val="20"/>
          <w:szCs w:val="20"/>
          <w:lang w:val="sr-Latn-BA"/>
        </w:rPr>
      </w:pPr>
    </w:p>
    <w:p w14:paraId="04384979" w14:textId="77777777" w:rsidR="001F77DD" w:rsidRDefault="001F77DD">
      <w:pPr>
        <w:spacing w:after="0" w:line="360" w:lineRule="auto"/>
        <w:jc w:val="both"/>
        <w:rPr>
          <w:rFonts w:ascii="Arial" w:eastAsia="Calibri" w:hAnsi="Arial" w:cs="Arial"/>
          <w:sz w:val="20"/>
          <w:szCs w:val="20"/>
          <w:lang w:val="sr-Latn-BA"/>
        </w:rPr>
      </w:pPr>
    </w:p>
    <w:p w14:paraId="7E674D2B" w14:textId="77777777" w:rsidR="001F77DD" w:rsidRDefault="001F77DD">
      <w:pPr>
        <w:spacing w:after="0" w:line="360" w:lineRule="auto"/>
        <w:jc w:val="both"/>
        <w:rPr>
          <w:rFonts w:ascii="Arial" w:eastAsia="Calibri" w:hAnsi="Arial" w:cs="Arial"/>
          <w:sz w:val="20"/>
          <w:szCs w:val="20"/>
          <w:lang w:val="sr-Latn-BA"/>
        </w:rPr>
      </w:pPr>
    </w:p>
    <w:p w14:paraId="5C085CE3" w14:textId="77777777" w:rsidR="001F77DD" w:rsidRDefault="001F77DD">
      <w:pPr>
        <w:spacing w:after="0" w:line="360" w:lineRule="auto"/>
        <w:jc w:val="both"/>
        <w:rPr>
          <w:rFonts w:ascii="Arial" w:eastAsia="Calibri" w:hAnsi="Arial" w:cs="Arial"/>
          <w:sz w:val="20"/>
          <w:szCs w:val="20"/>
          <w:lang w:val="sr-Latn-BA"/>
        </w:rPr>
      </w:pPr>
    </w:p>
    <w:p w14:paraId="47E04A74" w14:textId="77777777" w:rsidR="001F77DD" w:rsidRDefault="001F77DD">
      <w:pPr>
        <w:spacing w:after="0" w:line="360" w:lineRule="auto"/>
        <w:jc w:val="center"/>
        <w:rPr>
          <w:rFonts w:ascii="Arial" w:eastAsia="Calibri" w:hAnsi="Arial" w:cs="Arial"/>
          <w:sz w:val="36"/>
          <w:szCs w:val="36"/>
          <w:lang w:val="sr-Latn-BA"/>
        </w:rPr>
      </w:pPr>
    </w:p>
    <w:p w14:paraId="3F2E642B" w14:textId="77777777" w:rsidR="001F77DD" w:rsidRDefault="00D97F9C">
      <w:pPr>
        <w:spacing w:after="0" w:line="360" w:lineRule="auto"/>
        <w:jc w:val="center"/>
        <w:rPr>
          <w:rFonts w:ascii="Arial" w:eastAsia="Calibri" w:hAnsi="Arial" w:cs="Arial"/>
          <w:sz w:val="36"/>
          <w:szCs w:val="36"/>
          <w:lang w:val="sr-Latn-BA"/>
        </w:rPr>
      </w:pPr>
      <w:r>
        <w:rPr>
          <w:rFonts w:ascii="Arial" w:eastAsia="Calibri" w:hAnsi="Arial" w:cs="Arial"/>
          <w:sz w:val="36"/>
          <w:szCs w:val="36"/>
          <w:lang w:val="sr-Latn-BA"/>
        </w:rPr>
        <w:t>STRATEGIJA RAZVOJA</w:t>
      </w:r>
    </w:p>
    <w:p w14:paraId="71C5A946" w14:textId="77777777" w:rsidR="001F77DD" w:rsidRDefault="00D97F9C">
      <w:pPr>
        <w:spacing w:after="0" w:line="360" w:lineRule="auto"/>
        <w:jc w:val="center"/>
        <w:rPr>
          <w:rFonts w:ascii="Arial" w:eastAsia="Calibri" w:hAnsi="Arial" w:cs="Arial"/>
          <w:sz w:val="36"/>
          <w:szCs w:val="36"/>
          <w:lang w:val="sr-Latn-BA"/>
        </w:rPr>
      </w:pPr>
      <w:r>
        <w:rPr>
          <w:rFonts w:ascii="Arial" w:eastAsia="Calibri" w:hAnsi="Arial" w:cs="Arial"/>
          <w:sz w:val="36"/>
          <w:szCs w:val="36"/>
          <w:lang w:val="sr-Latn-BA"/>
        </w:rPr>
        <w:t>AGENCIJE ZA IDENTIFIKACIONE DOKUMENTE, EVIDENCIJU I RAZMJENU PODATAKA BOSNE I HERCEGOVINE</w:t>
      </w:r>
    </w:p>
    <w:p w14:paraId="647E3F88" w14:textId="46FBD299" w:rsidR="001F77DD" w:rsidRDefault="00D97F9C">
      <w:pPr>
        <w:spacing w:after="0" w:line="360" w:lineRule="auto"/>
        <w:jc w:val="center"/>
        <w:rPr>
          <w:rFonts w:ascii="Arial" w:eastAsia="Calibri" w:hAnsi="Arial" w:cs="Arial"/>
          <w:sz w:val="20"/>
          <w:szCs w:val="20"/>
          <w:lang w:val="sr-Latn-BA"/>
        </w:rPr>
      </w:pPr>
      <w:r>
        <w:rPr>
          <w:rFonts w:ascii="Arial" w:eastAsia="Calibri" w:hAnsi="Arial" w:cs="Arial"/>
          <w:sz w:val="36"/>
          <w:szCs w:val="36"/>
          <w:lang w:val="sr-Latn-BA"/>
        </w:rPr>
        <w:t>ZA PERIOD 2027–2031. GODINE</w:t>
      </w:r>
    </w:p>
    <w:p w14:paraId="5A58201E" w14:textId="77777777" w:rsidR="001F77DD" w:rsidRDefault="001F77DD">
      <w:pPr>
        <w:spacing w:after="0" w:line="360" w:lineRule="auto"/>
        <w:jc w:val="both"/>
        <w:rPr>
          <w:rFonts w:ascii="Arial" w:eastAsia="Calibri" w:hAnsi="Arial" w:cs="Arial"/>
          <w:sz w:val="20"/>
          <w:szCs w:val="20"/>
          <w:lang w:val="sr-Latn-BA"/>
        </w:rPr>
      </w:pPr>
    </w:p>
    <w:p w14:paraId="01D50554" w14:textId="77777777" w:rsidR="001F77DD" w:rsidRDefault="001F77DD">
      <w:pPr>
        <w:spacing w:after="0" w:line="360" w:lineRule="auto"/>
        <w:jc w:val="both"/>
        <w:rPr>
          <w:rFonts w:ascii="Arial" w:eastAsia="Calibri" w:hAnsi="Arial" w:cs="Arial"/>
          <w:sz w:val="20"/>
          <w:szCs w:val="20"/>
          <w:lang w:val="sr-Latn-BA"/>
        </w:rPr>
      </w:pPr>
    </w:p>
    <w:p w14:paraId="643A269A" w14:textId="77777777" w:rsidR="001F77DD" w:rsidRDefault="001F77DD">
      <w:pPr>
        <w:spacing w:after="0" w:line="360" w:lineRule="auto"/>
        <w:jc w:val="both"/>
        <w:rPr>
          <w:rFonts w:ascii="Arial" w:eastAsia="Calibri" w:hAnsi="Arial" w:cs="Arial"/>
          <w:sz w:val="20"/>
          <w:szCs w:val="20"/>
          <w:lang w:val="sr-Latn-BA"/>
        </w:rPr>
      </w:pPr>
    </w:p>
    <w:p w14:paraId="25E7DFE7" w14:textId="77777777" w:rsidR="001F77DD" w:rsidRDefault="001F77DD">
      <w:pPr>
        <w:spacing w:after="0" w:line="360" w:lineRule="auto"/>
        <w:jc w:val="both"/>
        <w:rPr>
          <w:rFonts w:ascii="Arial" w:eastAsia="Calibri" w:hAnsi="Arial" w:cs="Arial"/>
          <w:sz w:val="20"/>
          <w:szCs w:val="20"/>
          <w:lang w:val="sr-Latn-BA"/>
        </w:rPr>
      </w:pPr>
    </w:p>
    <w:p w14:paraId="4B85785C" w14:textId="77777777" w:rsidR="001F77DD" w:rsidRDefault="001F77DD">
      <w:pPr>
        <w:spacing w:after="0" w:line="360" w:lineRule="auto"/>
        <w:jc w:val="both"/>
        <w:rPr>
          <w:rFonts w:ascii="Arial" w:eastAsia="Calibri" w:hAnsi="Arial" w:cs="Arial"/>
          <w:sz w:val="20"/>
          <w:szCs w:val="20"/>
          <w:lang w:val="sr-Latn-BA"/>
        </w:rPr>
      </w:pPr>
    </w:p>
    <w:p w14:paraId="5A673A49" w14:textId="77777777" w:rsidR="001F77DD" w:rsidRDefault="001F77DD">
      <w:pPr>
        <w:spacing w:after="0" w:line="360" w:lineRule="auto"/>
        <w:jc w:val="both"/>
        <w:rPr>
          <w:rFonts w:ascii="Arial" w:eastAsia="Calibri" w:hAnsi="Arial" w:cs="Arial"/>
          <w:sz w:val="20"/>
          <w:szCs w:val="20"/>
          <w:lang w:val="sr-Latn-BA"/>
        </w:rPr>
      </w:pPr>
    </w:p>
    <w:p w14:paraId="4533ECB1" w14:textId="77777777" w:rsidR="001F77DD" w:rsidRDefault="001F77DD">
      <w:pPr>
        <w:spacing w:after="0" w:line="360" w:lineRule="auto"/>
        <w:jc w:val="both"/>
        <w:rPr>
          <w:rFonts w:ascii="Arial" w:eastAsia="Calibri" w:hAnsi="Arial" w:cs="Arial"/>
          <w:sz w:val="20"/>
          <w:szCs w:val="20"/>
          <w:lang w:val="sr-Latn-BA"/>
        </w:rPr>
      </w:pPr>
    </w:p>
    <w:p w14:paraId="740C2AE6" w14:textId="77777777" w:rsidR="001F77DD" w:rsidRDefault="001F77DD">
      <w:pPr>
        <w:spacing w:after="0" w:line="360" w:lineRule="auto"/>
        <w:jc w:val="both"/>
        <w:rPr>
          <w:rFonts w:ascii="Arial" w:eastAsia="Calibri" w:hAnsi="Arial" w:cs="Arial"/>
          <w:sz w:val="20"/>
          <w:szCs w:val="20"/>
          <w:lang w:val="sr-Latn-BA"/>
        </w:rPr>
      </w:pPr>
    </w:p>
    <w:p w14:paraId="11D6A947" w14:textId="77777777" w:rsidR="001F77DD" w:rsidRDefault="001F77DD">
      <w:pPr>
        <w:spacing w:after="0" w:line="360" w:lineRule="auto"/>
        <w:jc w:val="both"/>
        <w:rPr>
          <w:rFonts w:ascii="Arial" w:eastAsia="Calibri" w:hAnsi="Arial" w:cs="Arial"/>
          <w:sz w:val="20"/>
          <w:szCs w:val="20"/>
          <w:lang w:val="sr-Latn-BA"/>
        </w:rPr>
      </w:pPr>
    </w:p>
    <w:p w14:paraId="7328B5AC" w14:textId="77777777" w:rsidR="001F77DD" w:rsidRDefault="001F77DD">
      <w:pPr>
        <w:spacing w:after="0" w:line="360" w:lineRule="auto"/>
        <w:jc w:val="both"/>
        <w:rPr>
          <w:rFonts w:ascii="Arial" w:eastAsia="Calibri" w:hAnsi="Arial" w:cs="Arial"/>
          <w:sz w:val="20"/>
          <w:szCs w:val="20"/>
          <w:lang w:val="sr-Latn-BA"/>
        </w:rPr>
      </w:pPr>
    </w:p>
    <w:p w14:paraId="7BCE801E" w14:textId="77777777" w:rsidR="001F77DD" w:rsidRDefault="001F77DD">
      <w:pPr>
        <w:spacing w:after="0" w:line="360" w:lineRule="auto"/>
        <w:jc w:val="both"/>
        <w:rPr>
          <w:rFonts w:ascii="Arial" w:eastAsia="Calibri" w:hAnsi="Arial" w:cs="Arial"/>
          <w:sz w:val="20"/>
          <w:szCs w:val="20"/>
          <w:lang w:val="sr-Latn-BA"/>
        </w:rPr>
      </w:pPr>
    </w:p>
    <w:p w14:paraId="3C15E9D2" w14:textId="6E72897D" w:rsidR="001F77DD" w:rsidRDefault="001F77DD">
      <w:pPr>
        <w:spacing w:after="0" w:line="360" w:lineRule="auto"/>
        <w:jc w:val="both"/>
        <w:rPr>
          <w:rFonts w:ascii="Arial" w:eastAsia="Calibri" w:hAnsi="Arial" w:cs="Arial"/>
          <w:sz w:val="20"/>
          <w:szCs w:val="20"/>
          <w:lang w:val="sr-Latn-BA"/>
        </w:rPr>
      </w:pPr>
    </w:p>
    <w:p w14:paraId="3B1165B7" w14:textId="146C4621" w:rsidR="001F77DD" w:rsidRDefault="001F77DD">
      <w:pPr>
        <w:spacing w:after="0" w:line="360" w:lineRule="auto"/>
        <w:jc w:val="both"/>
        <w:rPr>
          <w:rFonts w:ascii="Arial" w:eastAsia="Calibri" w:hAnsi="Arial" w:cs="Arial"/>
          <w:sz w:val="20"/>
          <w:szCs w:val="20"/>
          <w:lang w:val="sr-Latn-BA"/>
        </w:rPr>
      </w:pPr>
    </w:p>
    <w:p w14:paraId="18CB29C2" w14:textId="56225F79" w:rsidR="001F77DD" w:rsidRDefault="001F77DD">
      <w:pPr>
        <w:spacing w:after="0" w:line="360" w:lineRule="auto"/>
        <w:jc w:val="both"/>
        <w:rPr>
          <w:rFonts w:ascii="Arial" w:eastAsia="Calibri" w:hAnsi="Arial" w:cs="Arial"/>
          <w:sz w:val="20"/>
          <w:szCs w:val="20"/>
          <w:lang w:val="sr-Latn-BA"/>
        </w:rPr>
      </w:pPr>
    </w:p>
    <w:p w14:paraId="7FB59891" w14:textId="401A6837" w:rsidR="001F77DD" w:rsidRDefault="001F77DD">
      <w:pPr>
        <w:spacing w:after="0" w:line="360" w:lineRule="auto"/>
        <w:jc w:val="both"/>
        <w:rPr>
          <w:rFonts w:ascii="Arial" w:eastAsia="Calibri" w:hAnsi="Arial" w:cs="Arial"/>
          <w:sz w:val="20"/>
          <w:szCs w:val="20"/>
          <w:lang w:val="sr-Latn-BA"/>
        </w:rPr>
      </w:pPr>
    </w:p>
    <w:p w14:paraId="1B93CA93" w14:textId="77777777" w:rsidR="001F77DD" w:rsidRDefault="00D97F9C">
      <w:pPr>
        <w:keepNext/>
        <w:keepLines/>
        <w:spacing w:before="480" w:after="0"/>
        <w:jc w:val="center"/>
        <w:rPr>
          <w:rFonts w:ascii="Arial" w:eastAsiaTheme="majorEastAsia" w:hAnsi="Arial" w:cs="Arial"/>
          <w:b/>
          <w:bCs/>
          <w:color w:val="365F91" w:themeColor="accent1" w:themeShade="BF"/>
          <w:sz w:val="28"/>
          <w:szCs w:val="28"/>
          <w:lang w:val="sr-Latn-BA" w:eastAsia="ja-JP"/>
        </w:rPr>
      </w:pPr>
      <w:r>
        <w:rPr>
          <w:rFonts w:ascii="Arial" w:eastAsiaTheme="majorEastAsia" w:hAnsi="Arial" w:cs="Arial"/>
          <w:b/>
          <w:bCs/>
          <w:color w:val="365F91" w:themeColor="accent1" w:themeShade="BF"/>
          <w:sz w:val="28"/>
          <w:szCs w:val="28"/>
          <w:lang w:val="sr-Latn-BA" w:eastAsia="ja-JP"/>
        </w:rPr>
        <w:lastRenderedPageBreak/>
        <w:t>Sadržaj</w:t>
      </w:r>
    </w:p>
    <w:p w14:paraId="04F347A2" w14:textId="77777777" w:rsidR="001F77DD" w:rsidRDefault="00D97F9C">
      <w:pPr>
        <w:numPr>
          <w:ilvl w:val="0"/>
          <w:numId w:val="17"/>
        </w:numPr>
        <w:tabs>
          <w:tab w:val="left" w:pos="180"/>
        </w:tabs>
        <w:spacing w:beforeAutospacing="1" w:after="100" w:afterAutospacing="1" w:line="240" w:lineRule="auto"/>
        <w:ind w:left="540" w:hanging="540"/>
        <w:rPr>
          <w:rFonts w:ascii="Arial" w:eastAsia="Times New Roman" w:hAnsi="Arial" w:cs="Arial"/>
          <w:sz w:val="24"/>
          <w:szCs w:val="24"/>
          <w:lang w:val="sr-Latn-BA" w:eastAsia="bs-Latn-BA"/>
        </w:rPr>
      </w:pPr>
      <w:r>
        <w:rPr>
          <w:rFonts w:ascii="Arial" w:eastAsia="Times New Roman" w:hAnsi="Arial" w:cs="Arial"/>
          <w:sz w:val="24"/>
          <w:szCs w:val="24"/>
          <w:lang w:val="sr-Latn-BA" w:eastAsia="bs-Latn-BA"/>
        </w:rPr>
        <w:t>Uvod</w:t>
      </w:r>
      <w:r>
        <w:rPr>
          <w:rFonts w:ascii="Arial" w:eastAsia="Times New Roman" w:hAnsi="Arial" w:cs="Arial"/>
          <w:sz w:val="24"/>
          <w:szCs w:val="24"/>
          <w:lang w:val="sr-Latn-BA" w:eastAsia="bs-Latn-BA"/>
        </w:rPr>
        <w:br/>
        <w:t>1.1. Predmet i svrha Strategije</w:t>
      </w:r>
      <w:r>
        <w:rPr>
          <w:rFonts w:ascii="Arial" w:eastAsia="Times New Roman" w:hAnsi="Arial" w:cs="Arial"/>
          <w:sz w:val="24"/>
          <w:szCs w:val="24"/>
          <w:lang w:val="sr-Latn-BA" w:eastAsia="bs-Latn-BA"/>
        </w:rPr>
        <w:br/>
        <w:t>1.2. Metodologija izrade Strategije</w:t>
      </w:r>
      <w:r>
        <w:rPr>
          <w:rFonts w:ascii="Arial" w:eastAsia="Times New Roman" w:hAnsi="Arial" w:cs="Arial"/>
          <w:sz w:val="24"/>
          <w:szCs w:val="24"/>
          <w:lang w:val="sr-Latn-BA" w:eastAsia="bs-Latn-BA"/>
        </w:rPr>
        <w:br/>
        <w:t>1.3. Vizija i misija</w:t>
      </w:r>
      <w:r>
        <w:rPr>
          <w:rFonts w:ascii="Arial" w:eastAsia="Times New Roman" w:hAnsi="Arial" w:cs="Arial"/>
          <w:sz w:val="24"/>
          <w:szCs w:val="24"/>
          <w:lang w:val="sr-Latn-BA" w:eastAsia="bs-Latn-BA"/>
        </w:rPr>
        <w:br/>
        <w:t>1.4. Strateški principi</w:t>
      </w:r>
    </w:p>
    <w:p w14:paraId="040FCCD3" w14:textId="77777777" w:rsidR="001F77DD" w:rsidRDefault="00D97F9C">
      <w:pPr>
        <w:numPr>
          <w:ilvl w:val="0"/>
          <w:numId w:val="17"/>
        </w:numPr>
        <w:tabs>
          <w:tab w:val="left" w:pos="180"/>
        </w:tabs>
        <w:spacing w:before="100" w:beforeAutospacing="1" w:after="100" w:afterAutospacing="1" w:line="240" w:lineRule="auto"/>
        <w:ind w:left="540" w:hanging="540"/>
        <w:rPr>
          <w:rFonts w:ascii="Arial" w:eastAsia="Times New Roman" w:hAnsi="Arial" w:cs="Arial"/>
          <w:sz w:val="24"/>
          <w:szCs w:val="24"/>
          <w:lang w:val="sr-Latn-BA" w:eastAsia="bs-Latn-BA"/>
        </w:rPr>
      </w:pPr>
      <w:r>
        <w:rPr>
          <w:rFonts w:ascii="Arial" w:eastAsia="Times New Roman" w:hAnsi="Arial" w:cs="Arial"/>
          <w:sz w:val="24"/>
          <w:szCs w:val="24"/>
          <w:lang w:val="sr-Latn-BA" w:eastAsia="bs-Latn-BA"/>
        </w:rPr>
        <w:t>Pravni i institucionalni okvir</w:t>
      </w:r>
      <w:r>
        <w:rPr>
          <w:rFonts w:ascii="Arial" w:eastAsia="Times New Roman" w:hAnsi="Arial" w:cs="Arial"/>
          <w:sz w:val="24"/>
          <w:szCs w:val="24"/>
          <w:lang w:val="sr-Latn-BA" w:eastAsia="bs-Latn-BA"/>
        </w:rPr>
        <w:br/>
        <w:t>2.1. Položaj i zakonski mandat Agencije</w:t>
      </w:r>
      <w:r>
        <w:rPr>
          <w:rFonts w:ascii="Arial" w:eastAsia="Times New Roman" w:hAnsi="Arial" w:cs="Arial"/>
          <w:sz w:val="24"/>
          <w:szCs w:val="24"/>
          <w:lang w:val="sr-Latn-BA" w:eastAsia="bs-Latn-BA"/>
        </w:rPr>
        <w:br/>
        <w:t>2.2. Identifikacioni dokumenti i personalizacija</w:t>
      </w:r>
      <w:r>
        <w:rPr>
          <w:rFonts w:ascii="Arial" w:eastAsia="Times New Roman" w:hAnsi="Arial" w:cs="Arial"/>
          <w:sz w:val="24"/>
          <w:szCs w:val="24"/>
          <w:lang w:val="sr-Latn-BA" w:eastAsia="bs-Latn-BA"/>
        </w:rPr>
        <w:br/>
        <w:t>2.3. Centralne evidencije i vlasništvo nad podacima</w:t>
      </w:r>
      <w:r>
        <w:rPr>
          <w:rFonts w:ascii="Arial" w:eastAsia="Times New Roman" w:hAnsi="Arial" w:cs="Arial"/>
          <w:sz w:val="24"/>
          <w:szCs w:val="24"/>
          <w:lang w:val="sr-Latn-BA" w:eastAsia="bs-Latn-BA"/>
        </w:rPr>
        <w:br/>
        <w:t>2.4. Pristup, prijenos i razmjena podataka</w:t>
      </w:r>
      <w:r>
        <w:rPr>
          <w:rFonts w:ascii="Arial" w:eastAsia="Times New Roman" w:hAnsi="Arial" w:cs="Arial"/>
          <w:sz w:val="24"/>
          <w:szCs w:val="24"/>
          <w:lang w:val="sr-Latn-BA" w:eastAsia="bs-Latn-BA"/>
        </w:rPr>
        <w:br/>
        <w:t>2.5. Sistemi IDDEEA i digitalni identitet</w:t>
      </w:r>
      <w:r>
        <w:rPr>
          <w:rFonts w:ascii="Arial" w:eastAsia="Times New Roman" w:hAnsi="Arial" w:cs="Arial"/>
          <w:sz w:val="24"/>
          <w:szCs w:val="24"/>
          <w:lang w:val="sr-Latn-BA" w:eastAsia="bs-Latn-BA"/>
        </w:rPr>
        <w:br/>
        <w:t>2.6. Digitalno potpisivanje, elektronski certifikati i funkcija ovjerioca</w:t>
      </w:r>
      <w:r>
        <w:rPr>
          <w:rFonts w:ascii="Arial" w:eastAsia="Times New Roman" w:hAnsi="Arial" w:cs="Arial"/>
          <w:sz w:val="24"/>
          <w:szCs w:val="24"/>
          <w:lang w:val="sr-Latn-BA" w:eastAsia="bs-Latn-BA"/>
        </w:rPr>
        <w:br/>
        <w:t>2.7. Telekomunikaciona i informaciona infrastruktura</w:t>
      </w:r>
      <w:r>
        <w:rPr>
          <w:rFonts w:ascii="Arial" w:eastAsia="Times New Roman" w:hAnsi="Arial" w:cs="Arial"/>
          <w:sz w:val="24"/>
          <w:szCs w:val="24"/>
          <w:lang w:val="sr-Latn-BA" w:eastAsia="bs-Latn-BA"/>
        </w:rPr>
        <w:br/>
        <w:t>2.8. Zaštita ličnih podataka i sigurnost</w:t>
      </w:r>
      <w:r>
        <w:rPr>
          <w:rFonts w:ascii="Arial" w:eastAsia="Times New Roman" w:hAnsi="Arial" w:cs="Arial"/>
          <w:sz w:val="24"/>
          <w:szCs w:val="24"/>
          <w:lang w:val="sr-Latn-BA" w:eastAsia="bs-Latn-BA"/>
        </w:rPr>
        <w:br/>
        <w:t>2.9. Saradnja sa nadležnim organima</w:t>
      </w:r>
      <w:r>
        <w:rPr>
          <w:rFonts w:ascii="Arial" w:eastAsia="Times New Roman" w:hAnsi="Arial" w:cs="Arial"/>
          <w:sz w:val="24"/>
          <w:szCs w:val="24"/>
          <w:lang w:val="sr-Latn-BA" w:eastAsia="bs-Latn-BA"/>
        </w:rPr>
        <w:br/>
        <w:t>2.10. Međunarodna saradnja</w:t>
      </w:r>
      <w:r>
        <w:rPr>
          <w:rFonts w:ascii="Arial" w:eastAsia="Times New Roman" w:hAnsi="Arial" w:cs="Arial"/>
          <w:sz w:val="24"/>
          <w:szCs w:val="24"/>
          <w:lang w:val="sr-Latn-BA" w:eastAsia="bs-Latn-BA"/>
        </w:rPr>
        <w:br/>
        <w:t>2.11. Relevantna sudska praksa</w:t>
      </w:r>
      <w:r>
        <w:rPr>
          <w:rFonts w:ascii="Arial" w:eastAsia="Times New Roman" w:hAnsi="Arial" w:cs="Arial"/>
          <w:sz w:val="24"/>
          <w:szCs w:val="24"/>
          <w:lang w:val="sr-Latn-BA" w:eastAsia="bs-Latn-BA"/>
        </w:rPr>
        <w:br/>
        <w:t>2.12. Evropski i međunarodni regulatorni i tehnički okvir</w:t>
      </w:r>
      <w:r>
        <w:rPr>
          <w:rFonts w:ascii="Arial" w:eastAsia="Times New Roman" w:hAnsi="Arial" w:cs="Arial"/>
          <w:sz w:val="24"/>
          <w:szCs w:val="24"/>
          <w:lang w:val="sr-Latn-BA" w:eastAsia="bs-Latn-BA"/>
        </w:rPr>
        <w:br/>
        <w:t>2.13. Granice institucionalne nadležnosti</w:t>
      </w:r>
    </w:p>
    <w:p w14:paraId="6D316C41" w14:textId="77777777" w:rsidR="001F77DD" w:rsidRDefault="00D97F9C">
      <w:pPr>
        <w:numPr>
          <w:ilvl w:val="0"/>
          <w:numId w:val="17"/>
        </w:numPr>
        <w:tabs>
          <w:tab w:val="left" w:pos="180"/>
        </w:tabs>
        <w:spacing w:before="100" w:beforeAutospacing="1" w:after="100" w:afterAutospacing="1" w:line="240" w:lineRule="auto"/>
        <w:ind w:left="540" w:hanging="540"/>
        <w:rPr>
          <w:rFonts w:ascii="Arial" w:eastAsia="Times New Roman" w:hAnsi="Arial" w:cs="Arial"/>
          <w:sz w:val="24"/>
          <w:szCs w:val="24"/>
          <w:lang w:val="sr-Latn-BA" w:eastAsia="bs-Latn-BA"/>
        </w:rPr>
      </w:pPr>
      <w:r>
        <w:rPr>
          <w:rFonts w:ascii="Arial" w:eastAsia="Times New Roman" w:hAnsi="Arial" w:cs="Arial"/>
          <w:sz w:val="24"/>
          <w:szCs w:val="24"/>
          <w:lang w:val="sr-Latn-BA" w:eastAsia="bs-Latn-BA"/>
        </w:rPr>
        <w:t>Analiza stanja i razvojne potrebe</w:t>
      </w:r>
      <w:r>
        <w:rPr>
          <w:rFonts w:ascii="Arial" w:eastAsia="Times New Roman" w:hAnsi="Arial" w:cs="Arial"/>
          <w:sz w:val="24"/>
          <w:szCs w:val="24"/>
          <w:lang w:val="sr-Latn-BA" w:eastAsia="bs-Latn-BA"/>
        </w:rPr>
        <w:br/>
        <w:t>3.1. Organizacioni, kadrovski i prostorni kapaciteti</w:t>
      </w:r>
      <w:r>
        <w:rPr>
          <w:rFonts w:ascii="Arial" w:eastAsia="Times New Roman" w:hAnsi="Arial" w:cs="Arial"/>
          <w:sz w:val="24"/>
          <w:szCs w:val="24"/>
          <w:lang w:val="sr-Latn-BA" w:eastAsia="bs-Latn-BA"/>
        </w:rPr>
        <w:br/>
        <w:t>3.2. Identifikacioni dokumenti i personalizacija</w:t>
      </w:r>
      <w:r>
        <w:rPr>
          <w:rFonts w:ascii="Arial" w:eastAsia="Times New Roman" w:hAnsi="Arial" w:cs="Arial"/>
          <w:sz w:val="24"/>
          <w:szCs w:val="24"/>
          <w:lang w:val="sr-Latn-BA" w:eastAsia="bs-Latn-BA"/>
        </w:rPr>
        <w:br/>
        <w:t>3.3. Centralne evidencije</w:t>
      </w:r>
      <w:r>
        <w:rPr>
          <w:rFonts w:ascii="Arial" w:eastAsia="Times New Roman" w:hAnsi="Arial" w:cs="Arial"/>
          <w:sz w:val="24"/>
          <w:szCs w:val="24"/>
          <w:lang w:val="sr-Latn-BA" w:eastAsia="bs-Latn-BA"/>
        </w:rPr>
        <w:br/>
        <w:t>3.4. Telekomunikaciona mreža</w:t>
      </w:r>
      <w:r>
        <w:rPr>
          <w:rFonts w:ascii="Arial" w:eastAsia="Times New Roman" w:hAnsi="Arial" w:cs="Arial"/>
          <w:sz w:val="24"/>
          <w:szCs w:val="24"/>
          <w:lang w:val="sr-Latn-BA" w:eastAsia="bs-Latn-BA"/>
        </w:rPr>
        <w:br/>
        <w:t>3.5. Razmjena podataka i interoperabilnost</w:t>
      </w:r>
      <w:r>
        <w:rPr>
          <w:rFonts w:ascii="Arial" w:eastAsia="Times New Roman" w:hAnsi="Arial" w:cs="Arial"/>
          <w:sz w:val="24"/>
          <w:szCs w:val="24"/>
          <w:lang w:val="sr-Latn-BA" w:eastAsia="bs-Latn-BA"/>
        </w:rPr>
        <w:br/>
        <w:t>3.6. Sistemi IDDEEA i digitalni identitet</w:t>
      </w:r>
      <w:r>
        <w:rPr>
          <w:rFonts w:ascii="Arial" w:eastAsia="Times New Roman" w:hAnsi="Arial" w:cs="Arial"/>
          <w:sz w:val="24"/>
          <w:szCs w:val="24"/>
          <w:lang w:val="sr-Latn-BA" w:eastAsia="bs-Latn-BA"/>
        </w:rPr>
        <w:br/>
        <w:t>3.7. Elektronski potpis, certifikati i PKI infrastruktura</w:t>
      </w:r>
      <w:r>
        <w:rPr>
          <w:rFonts w:ascii="Arial" w:eastAsia="Times New Roman" w:hAnsi="Arial" w:cs="Arial"/>
          <w:sz w:val="24"/>
          <w:szCs w:val="24"/>
          <w:lang w:val="sr-Latn-BA" w:eastAsia="bs-Latn-BA"/>
        </w:rPr>
        <w:br/>
        <w:t>3.8. Informaciona i cyber sigurnost</w:t>
      </w:r>
      <w:r>
        <w:rPr>
          <w:rFonts w:ascii="Arial" w:eastAsia="Times New Roman" w:hAnsi="Arial" w:cs="Arial"/>
          <w:sz w:val="24"/>
          <w:szCs w:val="24"/>
          <w:lang w:val="sr-Latn-BA" w:eastAsia="bs-Latn-BA"/>
        </w:rPr>
        <w:br/>
        <w:t>3.9. Zaštita ličnih podataka</w:t>
      </w:r>
      <w:r>
        <w:rPr>
          <w:rFonts w:ascii="Arial" w:eastAsia="Times New Roman" w:hAnsi="Arial" w:cs="Arial"/>
          <w:sz w:val="24"/>
          <w:szCs w:val="24"/>
          <w:lang w:val="sr-Latn-BA" w:eastAsia="bs-Latn-BA"/>
        </w:rPr>
        <w:br/>
        <w:t>3.10. Kontinuitet poslovanja i disaster recovery</w:t>
      </w:r>
      <w:r>
        <w:rPr>
          <w:rFonts w:ascii="Arial" w:eastAsia="Times New Roman" w:hAnsi="Arial" w:cs="Arial"/>
          <w:sz w:val="24"/>
          <w:szCs w:val="24"/>
          <w:lang w:val="sr-Latn-BA" w:eastAsia="bs-Latn-BA"/>
        </w:rPr>
        <w:br/>
        <w:t>3.11. Sistem upravljanja kvalitetom, sigurnošću, privatnošću i integritetom</w:t>
      </w:r>
      <w:r>
        <w:rPr>
          <w:rFonts w:ascii="Arial" w:eastAsia="Times New Roman" w:hAnsi="Arial" w:cs="Arial"/>
          <w:sz w:val="24"/>
          <w:szCs w:val="24"/>
          <w:lang w:val="sr-Latn-BA" w:eastAsia="bs-Latn-BA"/>
        </w:rPr>
        <w:br/>
        <w:t>3.12. Saradnja sa nadležnim organima</w:t>
      </w:r>
      <w:r>
        <w:rPr>
          <w:rFonts w:ascii="Arial" w:eastAsia="Times New Roman" w:hAnsi="Arial" w:cs="Arial"/>
          <w:sz w:val="24"/>
          <w:szCs w:val="24"/>
          <w:lang w:val="sr-Latn-BA" w:eastAsia="bs-Latn-BA"/>
        </w:rPr>
        <w:br/>
        <w:t>3.13. Međunarodna saradnja i razvojni projekti</w:t>
      </w:r>
      <w:r>
        <w:rPr>
          <w:rFonts w:ascii="Arial" w:eastAsia="Times New Roman" w:hAnsi="Arial" w:cs="Arial"/>
          <w:sz w:val="24"/>
          <w:szCs w:val="24"/>
          <w:lang w:val="sr-Latn-BA" w:eastAsia="bs-Latn-BA"/>
        </w:rPr>
        <w:br/>
        <w:t>3.14. Ljudski resursi i razvoj kompetencija</w:t>
      </w:r>
      <w:r>
        <w:rPr>
          <w:rFonts w:ascii="Arial" w:eastAsia="Times New Roman" w:hAnsi="Arial" w:cs="Arial"/>
          <w:sz w:val="24"/>
          <w:szCs w:val="24"/>
          <w:lang w:val="sr-Latn-BA" w:eastAsia="bs-Latn-BA"/>
        </w:rPr>
        <w:br/>
        <w:t>3.15. Finansijski kapaciteti</w:t>
      </w:r>
    </w:p>
    <w:p w14:paraId="1C12DCE5" w14:textId="77777777" w:rsidR="001F77DD" w:rsidRDefault="00D97F9C">
      <w:pPr>
        <w:numPr>
          <w:ilvl w:val="0"/>
          <w:numId w:val="17"/>
        </w:numPr>
        <w:tabs>
          <w:tab w:val="left" w:pos="180"/>
        </w:tabs>
        <w:spacing w:before="100" w:beforeAutospacing="1" w:after="100" w:afterAutospacing="1" w:line="240" w:lineRule="auto"/>
        <w:ind w:left="540" w:hanging="540"/>
        <w:rPr>
          <w:rFonts w:ascii="Arial" w:eastAsia="Times New Roman" w:hAnsi="Arial" w:cs="Arial"/>
          <w:sz w:val="24"/>
          <w:szCs w:val="24"/>
          <w:lang w:val="sr-Latn-BA" w:eastAsia="bs-Latn-BA"/>
        </w:rPr>
      </w:pPr>
      <w:r>
        <w:rPr>
          <w:rFonts w:ascii="Arial" w:eastAsia="Times New Roman" w:hAnsi="Arial" w:cs="Arial"/>
          <w:sz w:val="24"/>
          <w:szCs w:val="24"/>
          <w:lang w:val="sr-Latn-BA" w:eastAsia="bs-Latn-BA"/>
        </w:rPr>
        <w:t>Ključni izazovi i rizici</w:t>
      </w:r>
      <w:r>
        <w:rPr>
          <w:rFonts w:ascii="Arial" w:eastAsia="Times New Roman" w:hAnsi="Arial" w:cs="Arial"/>
          <w:sz w:val="24"/>
          <w:szCs w:val="24"/>
          <w:lang w:val="sr-Latn-BA" w:eastAsia="bs-Latn-BA"/>
        </w:rPr>
        <w:br/>
        <w:t>4.1. SWOT analiza</w:t>
      </w:r>
      <w:r>
        <w:rPr>
          <w:rFonts w:ascii="Arial" w:eastAsia="Times New Roman" w:hAnsi="Arial" w:cs="Arial"/>
          <w:sz w:val="24"/>
          <w:szCs w:val="24"/>
          <w:lang w:val="sr-Latn-BA" w:eastAsia="bs-Latn-BA"/>
        </w:rPr>
        <w:br/>
        <w:t xml:space="preserve">4.2. Strateški rizici </w:t>
      </w:r>
    </w:p>
    <w:p w14:paraId="1AB10A98" w14:textId="02B7631F" w:rsidR="001F77DD" w:rsidRDefault="00D97F9C">
      <w:pPr>
        <w:numPr>
          <w:ilvl w:val="0"/>
          <w:numId w:val="17"/>
        </w:numPr>
        <w:tabs>
          <w:tab w:val="left" w:pos="180"/>
        </w:tabs>
        <w:spacing w:before="100" w:beforeAutospacing="1" w:after="100" w:afterAutospacing="1" w:line="240" w:lineRule="auto"/>
        <w:rPr>
          <w:rFonts w:ascii="Arial" w:eastAsia="Times New Roman" w:hAnsi="Arial" w:cs="Arial"/>
          <w:sz w:val="24"/>
          <w:szCs w:val="24"/>
          <w:lang w:val="sr-Latn-BA" w:eastAsia="bs-Latn-BA"/>
        </w:rPr>
      </w:pPr>
      <w:r>
        <w:rPr>
          <w:rFonts w:ascii="Arial" w:eastAsia="Times New Roman" w:hAnsi="Arial" w:cs="Arial"/>
          <w:sz w:val="24"/>
          <w:szCs w:val="24"/>
          <w:lang w:val="sr-Latn-BA" w:eastAsia="bs-Latn-BA"/>
        </w:rPr>
        <w:t>Strateški ciljevi 2027–2031.</w:t>
      </w:r>
      <w:r>
        <w:rPr>
          <w:rFonts w:ascii="Arial" w:eastAsia="Times New Roman" w:hAnsi="Arial" w:cs="Arial"/>
          <w:sz w:val="24"/>
          <w:szCs w:val="24"/>
          <w:lang w:val="sr-Latn-BA" w:eastAsia="bs-Latn-BA"/>
        </w:rPr>
        <w:br/>
        <w:t>5.1. Sigurni i međunarodno interoperabilni identifikacioni dokumenti i personalizacija</w:t>
      </w:r>
      <w:r>
        <w:rPr>
          <w:rFonts w:ascii="Arial" w:eastAsia="Times New Roman" w:hAnsi="Arial" w:cs="Arial"/>
          <w:sz w:val="24"/>
          <w:szCs w:val="24"/>
          <w:lang w:val="sr-Latn-BA" w:eastAsia="bs-Latn-BA"/>
        </w:rPr>
        <w:br/>
        <w:t>5.2. Pouzdane centralne evidencije i kvalitet podataka</w:t>
      </w:r>
      <w:r>
        <w:rPr>
          <w:rFonts w:ascii="Arial" w:eastAsia="Times New Roman" w:hAnsi="Arial" w:cs="Arial"/>
          <w:sz w:val="24"/>
          <w:szCs w:val="24"/>
          <w:lang w:val="sr-Latn-BA" w:eastAsia="bs-Latn-BA"/>
        </w:rPr>
        <w:br/>
        <w:t>5.3. Sigurna razmjena podataka i mrežna infrastruktura</w:t>
      </w:r>
      <w:r>
        <w:rPr>
          <w:rFonts w:ascii="Arial" w:eastAsia="Times New Roman" w:hAnsi="Arial" w:cs="Arial"/>
          <w:sz w:val="24"/>
          <w:szCs w:val="24"/>
          <w:lang w:val="sr-Latn-BA" w:eastAsia="bs-Latn-BA"/>
        </w:rPr>
        <w:br/>
        <w:t>5.4. Digitalni identitet, elektronski certifikati i digitalno potpisivanje</w:t>
      </w:r>
      <w:r>
        <w:rPr>
          <w:rFonts w:ascii="Arial" w:eastAsia="Times New Roman" w:hAnsi="Arial" w:cs="Arial"/>
          <w:sz w:val="24"/>
          <w:szCs w:val="24"/>
          <w:lang w:val="sr-Latn-BA" w:eastAsia="bs-Latn-BA"/>
        </w:rPr>
        <w:br/>
      </w:r>
      <w:r>
        <w:rPr>
          <w:rFonts w:ascii="Arial" w:eastAsia="Times New Roman" w:hAnsi="Arial" w:cs="Arial"/>
          <w:sz w:val="24"/>
          <w:szCs w:val="24"/>
          <w:lang w:val="sr-Latn-BA" w:eastAsia="bs-Latn-BA"/>
        </w:rPr>
        <w:lastRenderedPageBreak/>
        <w:t>5.5. Cyber sigurnost, zaštita podataka i otpornost</w:t>
      </w:r>
      <w:r>
        <w:rPr>
          <w:rFonts w:ascii="Arial" w:eastAsia="Times New Roman" w:hAnsi="Arial" w:cs="Arial"/>
          <w:sz w:val="24"/>
          <w:szCs w:val="24"/>
          <w:lang w:val="sr-Latn-BA" w:eastAsia="bs-Latn-BA"/>
        </w:rPr>
        <w:br/>
        <w:t>5.6. Međunarodna interoperabilnost i razvojna saradnja</w:t>
      </w:r>
      <w:r>
        <w:rPr>
          <w:rFonts w:ascii="Arial" w:eastAsia="Times New Roman" w:hAnsi="Arial" w:cs="Arial"/>
          <w:sz w:val="24"/>
          <w:szCs w:val="24"/>
          <w:lang w:val="sr-Latn-BA" w:eastAsia="bs-Latn-BA"/>
        </w:rPr>
        <w:br/>
        <w:t>5.7. Institucionalni kapacitet, kvalitet, integritet i održivo upravljanje</w:t>
      </w:r>
    </w:p>
    <w:p w14:paraId="14F0350D" w14:textId="77777777" w:rsidR="001F77DD" w:rsidRDefault="00D97F9C">
      <w:pPr>
        <w:numPr>
          <w:ilvl w:val="0"/>
          <w:numId w:val="17"/>
        </w:numPr>
        <w:tabs>
          <w:tab w:val="left" w:pos="180"/>
        </w:tabs>
        <w:spacing w:before="100" w:beforeAutospacing="1" w:after="100" w:afterAutospacing="1" w:line="240" w:lineRule="auto"/>
        <w:ind w:left="540" w:hanging="540"/>
        <w:rPr>
          <w:rFonts w:ascii="Arial" w:eastAsia="Times New Roman" w:hAnsi="Arial" w:cs="Arial"/>
          <w:sz w:val="24"/>
          <w:szCs w:val="24"/>
          <w:lang w:val="sr-Latn-BA" w:eastAsia="bs-Latn-BA"/>
        </w:rPr>
      </w:pPr>
      <w:r>
        <w:rPr>
          <w:rFonts w:ascii="Arial" w:eastAsia="Times New Roman" w:hAnsi="Arial" w:cs="Arial"/>
          <w:sz w:val="24"/>
          <w:szCs w:val="24"/>
          <w:lang w:val="sr-Latn-BA" w:eastAsia="bs-Latn-BA"/>
        </w:rPr>
        <w:t xml:space="preserve">Akcioni plan 2027–2031. </w:t>
      </w:r>
    </w:p>
    <w:p w14:paraId="5E2FE04E" w14:textId="77777777" w:rsidR="001F77DD" w:rsidRDefault="00D97F9C">
      <w:pPr>
        <w:numPr>
          <w:ilvl w:val="0"/>
          <w:numId w:val="17"/>
        </w:numPr>
        <w:tabs>
          <w:tab w:val="left" w:pos="180"/>
        </w:tabs>
        <w:spacing w:before="100" w:beforeAutospacing="1" w:after="100" w:afterAutospacing="1" w:line="240" w:lineRule="auto"/>
        <w:ind w:left="540" w:hanging="540"/>
        <w:rPr>
          <w:rFonts w:ascii="Arial" w:eastAsia="Times New Roman" w:hAnsi="Arial" w:cs="Arial"/>
          <w:sz w:val="24"/>
          <w:szCs w:val="24"/>
          <w:lang w:val="sr-Latn-BA" w:eastAsia="bs-Latn-BA"/>
        </w:rPr>
      </w:pPr>
      <w:r>
        <w:rPr>
          <w:rFonts w:ascii="Arial" w:eastAsia="Times New Roman" w:hAnsi="Arial" w:cs="Arial"/>
          <w:sz w:val="24"/>
          <w:szCs w:val="24"/>
          <w:lang w:val="sr-Latn-BA" w:eastAsia="bs-Latn-BA"/>
        </w:rPr>
        <w:t xml:space="preserve">Finansijski okvir </w:t>
      </w:r>
    </w:p>
    <w:p w14:paraId="6DBCED18" w14:textId="77777777" w:rsidR="001F77DD" w:rsidRDefault="00D97F9C">
      <w:pPr>
        <w:numPr>
          <w:ilvl w:val="0"/>
          <w:numId w:val="17"/>
        </w:numPr>
        <w:tabs>
          <w:tab w:val="left" w:pos="180"/>
        </w:tabs>
        <w:spacing w:before="100" w:beforeAutospacing="1" w:after="100" w:afterAutospacing="1" w:line="240" w:lineRule="auto"/>
        <w:ind w:left="540" w:hanging="540"/>
        <w:rPr>
          <w:rFonts w:ascii="Arial" w:eastAsia="Times New Roman" w:hAnsi="Arial" w:cs="Arial"/>
          <w:sz w:val="24"/>
          <w:szCs w:val="24"/>
          <w:lang w:val="sr-Latn-BA" w:eastAsia="bs-Latn-BA"/>
        </w:rPr>
      </w:pPr>
      <w:r>
        <w:rPr>
          <w:rFonts w:ascii="Arial" w:eastAsia="Times New Roman" w:hAnsi="Arial" w:cs="Arial"/>
          <w:sz w:val="24"/>
          <w:szCs w:val="24"/>
          <w:lang w:val="sr-Latn-BA" w:eastAsia="bs-Latn-BA"/>
        </w:rPr>
        <w:t xml:space="preserve">Praćenje, izvještavanje i evaluacija </w:t>
      </w:r>
    </w:p>
    <w:p w14:paraId="03E0ACFB" w14:textId="77777777" w:rsidR="001F77DD" w:rsidRDefault="00D97F9C">
      <w:pPr>
        <w:numPr>
          <w:ilvl w:val="0"/>
          <w:numId w:val="17"/>
        </w:numPr>
        <w:tabs>
          <w:tab w:val="left" w:pos="180"/>
        </w:tabs>
        <w:spacing w:before="100" w:beforeAutospacing="1" w:after="100" w:afterAutospacing="1" w:line="240" w:lineRule="auto"/>
        <w:ind w:left="540" w:hanging="540"/>
        <w:rPr>
          <w:rFonts w:ascii="Arial" w:eastAsia="Times New Roman" w:hAnsi="Arial" w:cs="Arial"/>
          <w:sz w:val="24"/>
          <w:szCs w:val="24"/>
          <w:lang w:val="sr-Latn-BA" w:eastAsia="bs-Latn-BA"/>
        </w:rPr>
      </w:pPr>
      <w:r>
        <w:rPr>
          <w:rFonts w:ascii="Arial" w:eastAsia="Times New Roman" w:hAnsi="Arial" w:cs="Arial"/>
          <w:sz w:val="24"/>
          <w:szCs w:val="24"/>
          <w:lang w:val="sr-Latn-BA" w:eastAsia="bs-Latn-BA"/>
        </w:rPr>
        <w:t xml:space="preserve">Upravljanje promjenama i revizija Strategije </w:t>
      </w:r>
    </w:p>
    <w:p w14:paraId="5D58C504" w14:textId="01F2CE3E" w:rsidR="001F77DD" w:rsidRDefault="00D97F9C">
      <w:pPr>
        <w:numPr>
          <w:ilvl w:val="0"/>
          <w:numId w:val="17"/>
        </w:numPr>
        <w:tabs>
          <w:tab w:val="left" w:pos="180"/>
        </w:tabs>
        <w:spacing w:before="100" w:beforeAutospacing="1" w:after="100" w:afterAutospacing="1" w:line="240" w:lineRule="auto"/>
        <w:ind w:left="540" w:hanging="540"/>
        <w:rPr>
          <w:rFonts w:ascii="Arial" w:eastAsia="Times New Roman" w:hAnsi="Arial" w:cs="Arial"/>
          <w:sz w:val="24"/>
          <w:szCs w:val="24"/>
          <w:lang w:val="sr-Latn-BA" w:eastAsia="bs-Latn-BA"/>
        </w:rPr>
      </w:pPr>
      <w:r>
        <w:rPr>
          <w:rFonts w:ascii="Arial" w:eastAsia="Times New Roman" w:hAnsi="Arial" w:cs="Arial"/>
          <w:sz w:val="24"/>
          <w:szCs w:val="24"/>
          <w:lang w:val="sr-Latn-BA" w:eastAsia="bs-Latn-BA"/>
        </w:rPr>
        <w:t>Završne i interpretativne odredbe</w:t>
      </w:r>
      <w:r>
        <w:rPr>
          <w:rFonts w:ascii="Arial" w:eastAsia="Times New Roman" w:hAnsi="Arial" w:cs="Arial"/>
          <w:sz w:val="24"/>
          <w:szCs w:val="24"/>
          <w:lang w:val="sr-Latn-BA" w:eastAsia="bs-Latn-BA"/>
        </w:rPr>
        <w:br/>
        <w:t xml:space="preserve">Prilog </w:t>
      </w:r>
      <w:r w:rsidR="007E3796">
        <w:rPr>
          <w:rFonts w:ascii="Arial" w:eastAsia="Times New Roman" w:hAnsi="Arial" w:cs="Arial"/>
          <w:sz w:val="24"/>
          <w:szCs w:val="24"/>
          <w:lang w:val="sr-Latn-BA" w:eastAsia="bs-Latn-BA"/>
        </w:rPr>
        <w:t>1</w:t>
      </w:r>
      <w:r>
        <w:rPr>
          <w:rFonts w:ascii="Arial" w:eastAsia="Times New Roman" w:hAnsi="Arial" w:cs="Arial"/>
          <w:sz w:val="24"/>
          <w:szCs w:val="24"/>
          <w:lang w:val="sr-Latn-BA" w:eastAsia="bs-Latn-BA"/>
        </w:rPr>
        <w:t xml:space="preserve"> – Matrica</w:t>
      </w:r>
      <w:r w:rsidR="007E3796">
        <w:rPr>
          <w:rFonts w:ascii="Arial" w:eastAsia="Times New Roman" w:hAnsi="Arial" w:cs="Arial"/>
          <w:sz w:val="24"/>
          <w:szCs w:val="24"/>
          <w:lang w:val="sr-Latn-BA" w:eastAsia="bs-Latn-BA"/>
        </w:rPr>
        <w:t xml:space="preserve"> institucionalnih uloga</w:t>
      </w:r>
      <w:r w:rsidR="007E3796">
        <w:rPr>
          <w:rFonts w:ascii="Arial" w:eastAsia="Times New Roman" w:hAnsi="Arial" w:cs="Arial"/>
          <w:sz w:val="24"/>
          <w:szCs w:val="24"/>
          <w:lang w:val="sr-Latn-BA" w:eastAsia="bs-Latn-BA"/>
        </w:rPr>
        <w:br/>
        <w:t>Prilog 2</w:t>
      </w:r>
      <w:r>
        <w:rPr>
          <w:rFonts w:ascii="Arial" w:eastAsia="Times New Roman" w:hAnsi="Arial" w:cs="Arial"/>
          <w:sz w:val="24"/>
          <w:szCs w:val="24"/>
          <w:lang w:val="sr-Latn-BA" w:eastAsia="bs-Latn-BA"/>
        </w:rPr>
        <w:t xml:space="preserve"> – Matrica indikatora i izvora verifikacije.</w:t>
      </w:r>
    </w:p>
    <w:p w14:paraId="7F3C9EF7" w14:textId="77777777" w:rsidR="001F77DD" w:rsidRDefault="001F77DD">
      <w:pPr>
        <w:spacing w:after="0" w:line="360" w:lineRule="auto"/>
        <w:ind w:left="720"/>
        <w:contextualSpacing/>
        <w:jc w:val="both"/>
        <w:rPr>
          <w:rFonts w:ascii="Arial" w:eastAsia="Calibri" w:hAnsi="Arial" w:cs="Arial"/>
          <w:b/>
          <w:sz w:val="20"/>
          <w:szCs w:val="20"/>
          <w:lang w:val="sr-Latn-BA"/>
        </w:rPr>
      </w:pPr>
    </w:p>
    <w:p w14:paraId="53AB5E05" w14:textId="77777777" w:rsidR="001F77DD" w:rsidRDefault="001F77DD">
      <w:pPr>
        <w:spacing w:after="0" w:line="360" w:lineRule="auto"/>
        <w:ind w:left="720"/>
        <w:contextualSpacing/>
        <w:jc w:val="both"/>
        <w:rPr>
          <w:rFonts w:ascii="Arial" w:eastAsia="Calibri" w:hAnsi="Arial" w:cs="Arial"/>
          <w:b/>
          <w:sz w:val="20"/>
          <w:szCs w:val="20"/>
          <w:lang w:val="sr-Latn-BA"/>
        </w:rPr>
      </w:pPr>
    </w:p>
    <w:p w14:paraId="7042BC0E" w14:textId="77777777" w:rsidR="001F77DD" w:rsidRDefault="001F77DD">
      <w:pPr>
        <w:spacing w:after="0" w:line="360" w:lineRule="auto"/>
        <w:ind w:left="720"/>
        <w:contextualSpacing/>
        <w:jc w:val="both"/>
        <w:rPr>
          <w:rFonts w:ascii="Arial" w:eastAsia="Calibri" w:hAnsi="Arial" w:cs="Arial"/>
          <w:b/>
          <w:sz w:val="20"/>
          <w:szCs w:val="20"/>
          <w:lang w:val="sr-Latn-BA"/>
        </w:rPr>
      </w:pPr>
    </w:p>
    <w:p w14:paraId="4B3567E9" w14:textId="77777777" w:rsidR="001F77DD" w:rsidRDefault="001F77DD">
      <w:pPr>
        <w:spacing w:after="0" w:line="360" w:lineRule="auto"/>
        <w:ind w:left="720"/>
        <w:contextualSpacing/>
        <w:jc w:val="both"/>
        <w:rPr>
          <w:rFonts w:ascii="Arial" w:eastAsia="Calibri" w:hAnsi="Arial" w:cs="Arial"/>
          <w:b/>
          <w:sz w:val="20"/>
          <w:szCs w:val="20"/>
          <w:lang w:val="sr-Latn-BA"/>
        </w:rPr>
      </w:pPr>
    </w:p>
    <w:p w14:paraId="5AE0352D" w14:textId="77777777" w:rsidR="001F77DD" w:rsidRDefault="001F77DD">
      <w:pPr>
        <w:spacing w:after="0" w:line="360" w:lineRule="auto"/>
        <w:ind w:left="720"/>
        <w:contextualSpacing/>
        <w:jc w:val="both"/>
        <w:rPr>
          <w:rFonts w:ascii="Arial" w:eastAsia="Calibri" w:hAnsi="Arial" w:cs="Arial"/>
          <w:b/>
          <w:sz w:val="20"/>
          <w:szCs w:val="20"/>
          <w:lang w:val="sr-Latn-BA"/>
        </w:rPr>
      </w:pPr>
    </w:p>
    <w:p w14:paraId="6664EFE3" w14:textId="0D6DFE00" w:rsidR="001F77DD" w:rsidRDefault="001F77DD">
      <w:pPr>
        <w:spacing w:after="0" w:line="360" w:lineRule="auto"/>
        <w:ind w:left="720"/>
        <w:contextualSpacing/>
        <w:jc w:val="both"/>
        <w:rPr>
          <w:rFonts w:ascii="Arial" w:eastAsia="Calibri" w:hAnsi="Arial" w:cs="Arial"/>
          <w:b/>
          <w:sz w:val="20"/>
          <w:szCs w:val="20"/>
          <w:lang w:val="sr-Latn-BA"/>
        </w:rPr>
      </w:pPr>
    </w:p>
    <w:p w14:paraId="4FB610B4" w14:textId="1373A8EC" w:rsidR="001F77DD" w:rsidRDefault="001F77DD">
      <w:pPr>
        <w:spacing w:after="0" w:line="360" w:lineRule="auto"/>
        <w:ind w:left="720"/>
        <w:contextualSpacing/>
        <w:jc w:val="both"/>
        <w:rPr>
          <w:rFonts w:ascii="Arial" w:eastAsia="Calibri" w:hAnsi="Arial" w:cs="Arial"/>
          <w:b/>
          <w:sz w:val="20"/>
          <w:szCs w:val="20"/>
          <w:lang w:val="sr-Latn-BA"/>
        </w:rPr>
      </w:pPr>
    </w:p>
    <w:p w14:paraId="57243036" w14:textId="3FF6BED7" w:rsidR="001F77DD" w:rsidRDefault="001F77DD">
      <w:pPr>
        <w:spacing w:after="0" w:line="360" w:lineRule="auto"/>
        <w:ind w:left="720"/>
        <w:contextualSpacing/>
        <w:jc w:val="both"/>
        <w:rPr>
          <w:rFonts w:ascii="Arial" w:eastAsia="Calibri" w:hAnsi="Arial" w:cs="Arial"/>
          <w:b/>
          <w:sz w:val="20"/>
          <w:szCs w:val="20"/>
          <w:lang w:val="sr-Latn-BA"/>
        </w:rPr>
      </w:pPr>
    </w:p>
    <w:p w14:paraId="78042654" w14:textId="77777777" w:rsidR="001F77DD" w:rsidRDefault="001F77DD">
      <w:pPr>
        <w:spacing w:after="0" w:line="360" w:lineRule="auto"/>
        <w:ind w:left="720"/>
        <w:contextualSpacing/>
        <w:jc w:val="both"/>
        <w:rPr>
          <w:rFonts w:ascii="Arial" w:eastAsia="Calibri" w:hAnsi="Arial" w:cs="Arial"/>
          <w:b/>
          <w:sz w:val="20"/>
          <w:szCs w:val="20"/>
          <w:lang w:val="sr-Latn-BA"/>
        </w:rPr>
      </w:pPr>
    </w:p>
    <w:p w14:paraId="4953D0EC" w14:textId="77777777" w:rsidR="001F77DD" w:rsidRDefault="001F77DD">
      <w:pPr>
        <w:spacing w:after="0" w:line="360" w:lineRule="auto"/>
        <w:ind w:left="720"/>
        <w:contextualSpacing/>
        <w:jc w:val="both"/>
        <w:rPr>
          <w:rFonts w:ascii="Arial" w:eastAsia="Calibri" w:hAnsi="Arial" w:cs="Arial"/>
          <w:b/>
          <w:sz w:val="20"/>
          <w:szCs w:val="20"/>
          <w:lang w:val="sr-Latn-BA"/>
        </w:rPr>
      </w:pPr>
    </w:p>
    <w:p w14:paraId="2F82D86F" w14:textId="77777777" w:rsidR="001F77DD" w:rsidRDefault="001F77DD">
      <w:pPr>
        <w:spacing w:after="0" w:line="360" w:lineRule="auto"/>
        <w:ind w:left="720"/>
        <w:contextualSpacing/>
        <w:jc w:val="both"/>
        <w:rPr>
          <w:rFonts w:ascii="Arial" w:eastAsia="Calibri" w:hAnsi="Arial" w:cs="Arial"/>
          <w:b/>
          <w:sz w:val="20"/>
          <w:szCs w:val="20"/>
          <w:lang w:val="sr-Latn-BA"/>
        </w:rPr>
      </w:pPr>
    </w:p>
    <w:p w14:paraId="49B5E6FA" w14:textId="77777777" w:rsidR="001F77DD" w:rsidRDefault="001F77DD">
      <w:pPr>
        <w:spacing w:after="0" w:line="360" w:lineRule="auto"/>
        <w:ind w:left="720"/>
        <w:contextualSpacing/>
        <w:jc w:val="both"/>
        <w:rPr>
          <w:rFonts w:ascii="Arial" w:eastAsia="Calibri" w:hAnsi="Arial" w:cs="Arial"/>
          <w:b/>
          <w:sz w:val="20"/>
          <w:szCs w:val="20"/>
          <w:lang w:val="sr-Latn-BA"/>
        </w:rPr>
      </w:pPr>
    </w:p>
    <w:p w14:paraId="163C4B2E" w14:textId="5C8DDBD6" w:rsidR="001F77DD" w:rsidRDefault="001F77DD">
      <w:pPr>
        <w:spacing w:after="0" w:line="360" w:lineRule="auto"/>
        <w:contextualSpacing/>
        <w:jc w:val="both"/>
        <w:outlineLvl w:val="0"/>
        <w:rPr>
          <w:rFonts w:ascii="Arial" w:eastAsia="Calibri" w:hAnsi="Arial" w:cs="Arial"/>
          <w:b/>
          <w:sz w:val="20"/>
          <w:szCs w:val="20"/>
          <w:lang w:val="sr-Latn-BA"/>
        </w:rPr>
      </w:pPr>
      <w:bookmarkStart w:id="0" w:name="_Toc213758693"/>
    </w:p>
    <w:p w14:paraId="49379568" w14:textId="609C39A6" w:rsidR="001F77DD" w:rsidRDefault="001F77DD">
      <w:pPr>
        <w:spacing w:after="0" w:line="360" w:lineRule="auto"/>
        <w:contextualSpacing/>
        <w:jc w:val="both"/>
        <w:outlineLvl w:val="0"/>
        <w:rPr>
          <w:rFonts w:ascii="Arial" w:eastAsia="Calibri" w:hAnsi="Arial" w:cs="Arial"/>
          <w:b/>
          <w:sz w:val="20"/>
          <w:szCs w:val="20"/>
          <w:lang w:val="sr-Latn-BA"/>
        </w:rPr>
      </w:pPr>
    </w:p>
    <w:p w14:paraId="645C8FF6" w14:textId="2C06927A" w:rsidR="001F77DD" w:rsidRDefault="001F77DD">
      <w:pPr>
        <w:spacing w:after="0" w:line="360" w:lineRule="auto"/>
        <w:contextualSpacing/>
        <w:jc w:val="both"/>
        <w:outlineLvl w:val="0"/>
        <w:rPr>
          <w:rFonts w:ascii="Arial" w:eastAsia="Calibri" w:hAnsi="Arial" w:cs="Arial"/>
          <w:b/>
          <w:sz w:val="20"/>
          <w:szCs w:val="20"/>
          <w:lang w:val="sr-Latn-BA"/>
        </w:rPr>
      </w:pPr>
    </w:p>
    <w:p w14:paraId="132E0ABF" w14:textId="227700AA" w:rsidR="001F77DD" w:rsidRDefault="001F77DD">
      <w:pPr>
        <w:spacing w:after="0" w:line="360" w:lineRule="auto"/>
        <w:contextualSpacing/>
        <w:jc w:val="both"/>
        <w:outlineLvl w:val="0"/>
        <w:rPr>
          <w:rFonts w:ascii="Arial" w:eastAsia="Calibri" w:hAnsi="Arial" w:cs="Arial"/>
          <w:b/>
          <w:sz w:val="20"/>
          <w:szCs w:val="20"/>
          <w:lang w:val="sr-Latn-BA"/>
        </w:rPr>
      </w:pPr>
    </w:p>
    <w:p w14:paraId="4A6141EA" w14:textId="1F9307BB" w:rsidR="001F77DD" w:rsidRDefault="001F77DD">
      <w:pPr>
        <w:spacing w:after="0" w:line="360" w:lineRule="auto"/>
        <w:contextualSpacing/>
        <w:jc w:val="both"/>
        <w:outlineLvl w:val="0"/>
        <w:rPr>
          <w:rFonts w:ascii="Arial" w:eastAsia="Calibri" w:hAnsi="Arial" w:cs="Arial"/>
          <w:b/>
          <w:sz w:val="20"/>
          <w:szCs w:val="20"/>
          <w:lang w:val="sr-Latn-BA"/>
        </w:rPr>
      </w:pPr>
    </w:p>
    <w:p w14:paraId="669C5DE2" w14:textId="2D2146C3" w:rsidR="001F77DD" w:rsidRDefault="001F77DD">
      <w:pPr>
        <w:spacing w:after="0" w:line="360" w:lineRule="auto"/>
        <w:contextualSpacing/>
        <w:jc w:val="both"/>
        <w:outlineLvl w:val="0"/>
        <w:rPr>
          <w:rFonts w:ascii="Arial" w:eastAsia="Calibri" w:hAnsi="Arial" w:cs="Arial"/>
          <w:b/>
          <w:sz w:val="20"/>
          <w:szCs w:val="20"/>
          <w:lang w:val="sr-Latn-BA"/>
        </w:rPr>
      </w:pPr>
    </w:p>
    <w:p w14:paraId="70A46F85" w14:textId="1DBF40C1" w:rsidR="001F77DD" w:rsidRDefault="001F77DD">
      <w:pPr>
        <w:spacing w:after="0" w:line="360" w:lineRule="auto"/>
        <w:contextualSpacing/>
        <w:jc w:val="both"/>
        <w:outlineLvl w:val="0"/>
        <w:rPr>
          <w:rFonts w:ascii="Arial" w:eastAsia="Calibri" w:hAnsi="Arial" w:cs="Arial"/>
          <w:b/>
          <w:sz w:val="20"/>
          <w:szCs w:val="20"/>
          <w:lang w:val="sr-Latn-BA"/>
        </w:rPr>
      </w:pPr>
    </w:p>
    <w:p w14:paraId="4D23F0AC" w14:textId="482348B0" w:rsidR="001F77DD" w:rsidRDefault="001F77DD">
      <w:pPr>
        <w:spacing w:after="0" w:line="360" w:lineRule="auto"/>
        <w:contextualSpacing/>
        <w:jc w:val="both"/>
        <w:outlineLvl w:val="0"/>
        <w:rPr>
          <w:rFonts w:ascii="Arial" w:eastAsia="Calibri" w:hAnsi="Arial" w:cs="Arial"/>
          <w:b/>
          <w:sz w:val="20"/>
          <w:szCs w:val="20"/>
          <w:lang w:val="sr-Latn-BA"/>
        </w:rPr>
      </w:pPr>
    </w:p>
    <w:p w14:paraId="0CA85FFB" w14:textId="3FDC7953" w:rsidR="001F77DD" w:rsidRDefault="001F77DD">
      <w:pPr>
        <w:spacing w:after="0" w:line="360" w:lineRule="auto"/>
        <w:contextualSpacing/>
        <w:jc w:val="both"/>
        <w:outlineLvl w:val="0"/>
        <w:rPr>
          <w:rFonts w:ascii="Arial" w:eastAsia="Calibri" w:hAnsi="Arial" w:cs="Arial"/>
          <w:b/>
          <w:sz w:val="20"/>
          <w:szCs w:val="20"/>
          <w:lang w:val="sr-Latn-BA"/>
        </w:rPr>
      </w:pPr>
    </w:p>
    <w:p w14:paraId="08274284" w14:textId="2D7C7D09" w:rsidR="001F77DD" w:rsidRDefault="001F77DD">
      <w:pPr>
        <w:spacing w:after="0" w:line="360" w:lineRule="auto"/>
        <w:contextualSpacing/>
        <w:jc w:val="both"/>
        <w:outlineLvl w:val="0"/>
        <w:rPr>
          <w:rFonts w:ascii="Arial" w:eastAsia="Calibri" w:hAnsi="Arial" w:cs="Arial"/>
          <w:b/>
          <w:sz w:val="20"/>
          <w:szCs w:val="20"/>
          <w:lang w:val="sr-Latn-BA"/>
        </w:rPr>
      </w:pPr>
    </w:p>
    <w:p w14:paraId="1BD58A0E" w14:textId="6DE1AD43" w:rsidR="001F77DD" w:rsidRDefault="001F77DD">
      <w:pPr>
        <w:spacing w:after="0" w:line="360" w:lineRule="auto"/>
        <w:contextualSpacing/>
        <w:jc w:val="both"/>
        <w:outlineLvl w:val="0"/>
        <w:rPr>
          <w:rFonts w:ascii="Arial" w:eastAsia="Calibri" w:hAnsi="Arial" w:cs="Arial"/>
          <w:b/>
          <w:sz w:val="20"/>
          <w:szCs w:val="20"/>
          <w:lang w:val="sr-Latn-BA"/>
        </w:rPr>
      </w:pPr>
    </w:p>
    <w:p w14:paraId="05C0DC47" w14:textId="5C765F14" w:rsidR="001F77DD" w:rsidRDefault="001F77DD">
      <w:pPr>
        <w:spacing w:after="0" w:line="360" w:lineRule="auto"/>
        <w:contextualSpacing/>
        <w:jc w:val="both"/>
        <w:outlineLvl w:val="0"/>
        <w:rPr>
          <w:rFonts w:ascii="Arial" w:eastAsia="Calibri" w:hAnsi="Arial" w:cs="Arial"/>
          <w:b/>
          <w:sz w:val="20"/>
          <w:szCs w:val="20"/>
          <w:lang w:val="sr-Latn-BA"/>
        </w:rPr>
      </w:pPr>
    </w:p>
    <w:p w14:paraId="442A6B3D" w14:textId="7555ADE4" w:rsidR="001F77DD" w:rsidRDefault="001F77DD">
      <w:pPr>
        <w:spacing w:after="0" w:line="360" w:lineRule="auto"/>
        <w:contextualSpacing/>
        <w:jc w:val="both"/>
        <w:outlineLvl w:val="0"/>
        <w:rPr>
          <w:rFonts w:ascii="Arial" w:eastAsia="Calibri" w:hAnsi="Arial" w:cs="Arial"/>
          <w:b/>
          <w:sz w:val="20"/>
          <w:szCs w:val="20"/>
          <w:lang w:val="sr-Latn-BA"/>
        </w:rPr>
      </w:pPr>
    </w:p>
    <w:p w14:paraId="72FCEE26" w14:textId="4B1F06B5" w:rsidR="001F77DD" w:rsidRDefault="001F77DD">
      <w:pPr>
        <w:spacing w:after="0" w:line="360" w:lineRule="auto"/>
        <w:contextualSpacing/>
        <w:jc w:val="both"/>
        <w:outlineLvl w:val="0"/>
        <w:rPr>
          <w:rFonts w:ascii="Arial" w:eastAsia="Calibri" w:hAnsi="Arial" w:cs="Arial"/>
          <w:b/>
          <w:sz w:val="20"/>
          <w:szCs w:val="20"/>
          <w:lang w:val="sr-Latn-BA"/>
        </w:rPr>
      </w:pPr>
    </w:p>
    <w:p w14:paraId="00513DC7" w14:textId="77777777" w:rsidR="001F77DD" w:rsidRDefault="001F77DD">
      <w:pPr>
        <w:spacing w:after="0" w:line="360" w:lineRule="auto"/>
        <w:contextualSpacing/>
        <w:jc w:val="both"/>
        <w:outlineLvl w:val="0"/>
        <w:rPr>
          <w:rFonts w:ascii="Arial" w:eastAsia="Calibri" w:hAnsi="Arial" w:cs="Arial"/>
          <w:b/>
          <w:sz w:val="20"/>
          <w:szCs w:val="20"/>
          <w:lang w:val="sr-Latn-BA"/>
        </w:rPr>
      </w:pPr>
    </w:p>
    <w:p w14:paraId="2B401A8A" w14:textId="4F376D71" w:rsidR="001F77DD" w:rsidRDefault="001F77DD">
      <w:pPr>
        <w:spacing w:after="0" w:line="360" w:lineRule="auto"/>
        <w:contextualSpacing/>
        <w:jc w:val="both"/>
        <w:outlineLvl w:val="0"/>
        <w:rPr>
          <w:rFonts w:ascii="Arial" w:eastAsia="Calibri" w:hAnsi="Arial" w:cs="Arial"/>
          <w:b/>
          <w:sz w:val="20"/>
          <w:szCs w:val="20"/>
          <w:lang w:val="sr-Latn-BA"/>
        </w:rPr>
      </w:pPr>
    </w:p>
    <w:p w14:paraId="1C6E6FFB" w14:textId="77777777" w:rsidR="001F77DD" w:rsidRDefault="001F77DD">
      <w:pPr>
        <w:spacing w:after="0" w:line="360" w:lineRule="auto"/>
        <w:contextualSpacing/>
        <w:jc w:val="both"/>
        <w:outlineLvl w:val="0"/>
        <w:rPr>
          <w:rFonts w:ascii="Arial" w:eastAsia="Calibri" w:hAnsi="Arial" w:cs="Arial"/>
          <w:b/>
          <w:sz w:val="20"/>
          <w:szCs w:val="20"/>
          <w:lang w:val="sr-Latn-BA"/>
        </w:rPr>
      </w:pPr>
    </w:p>
    <w:p w14:paraId="37E17718" w14:textId="5633A48B" w:rsidR="001F77DD" w:rsidRDefault="00D97F9C">
      <w:pPr>
        <w:numPr>
          <w:ilvl w:val="0"/>
          <w:numId w:val="3"/>
        </w:numPr>
        <w:spacing w:after="0" w:line="360" w:lineRule="auto"/>
        <w:contextualSpacing/>
        <w:jc w:val="both"/>
        <w:outlineLvl w:val="0"/>
        <w:rPr>
          <w:rFonts w:ascii="Arial" w:eastAsia="Calibri" w:hAnsi="Arial" w:cs="Arial"/>
          <w:b/>
          <w:sz w:val="20"/>
          <w:szCs w:val="20"/>
          <w:lang w:val="sr-Latn-BA"/>
        </w:rPr>
      </w:pPr>
      <w:r>
        <w:rPr>
          <w:rFonts w:ascii="Arial" w:eastAsia="Calibri" w:hAnsi="Arial" w:cs="Arial"/>
          <w:b/>
          <w:sz w:val="20"/>
          <w:szCs w:val="20"/>
          <w:lang w:val="sr-Latn-BA"/>
        </w:rPr>
        <w:lastRenderedPageBreak/>
        <w:t>Uvod</w:t>
      </w:r>
      <w:bookmarkEnd w:id="0"/>
      <w:r>
        <w:rPr>
          <w:rFonts w:ascii="Arial" w:eastAsia="Calibri" w:hAnsi="Arial" w:cs="Arial"/>
          <w:b/>
          <w:sz w:val="20"/>
          <w:szCs w:val="20"/>
          <w:lang w:val="sr-Latn-BA"/>
        </w:rPr>
        <w:t xml:space="preserve"> </w:t>
      </w:r>
    </w:p>
    <w:p w14:paraId="5FA2ACBB" w14:textId="77777777" w:rsidR="001F77DD" w:rsidRDefault="001F77DD">
      <w:pPr>
        <w:spacing w:after="0" w:line="360" w:lineRule="auto"/>
        <w:jc w:val="both"/>
        <w:rPr>
          <w:rFonts w:ascii="Arial" w:eastAsia="Times New Roman" w:hAnsi="Arial" w:cs="Arial"/>
          <w:sz w:val="20"/>
          <w:szCs w:val="20"/>
          <w:lang w:val="sr-Latn-BA" w:eastAsia="sr-Latn-CS"/>
        </w:rPr>
      </w:pPr>
    </w:p>
    <w:p w14:paraId="44670238"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Agencija za identifikacione dokumente, evidenciju i razmjenu podataka Bosne i Hercegovine (u daljnjem tekstu: Agencija ili IDDEEA) osnovana je Zakonom o Agenciji za identifikacione dokumente, evidenciju i razmjenu podataka Bosne i Hercegovine („Službeni glasnik BiH“, broj 56/08) kao upravna organizacija u sastavu Ministarstva civilnih poslova Bosne i Hercegovine.</w:t>
      </w:r>
    </w:p>
    <w:p w14:paraId="3ECCF6D6"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Zakonom su Agenciji povjereni poslovi u oblasti identifikacionih dokumenata i njihove personalizacije, tehničkog projektovanja, uspostavljanja, održavanja i elektronskog arhiviranja centralnih evidencija, razvoja i održavanja baza podataka i informacionih sistema, izdavanja podataka ovlaštenim subjektima, razvoja softverskih rješenja, razvoja, održavanja i unapređenja telekomunikacionih mreža, utvrđivanja tehničkih i sigurnosnih standarda pristupa sistemima, digitalnog potpisivanja u zakonom utvrđenom okviru te međunarodne saradnje u oblastima iz djelokruga Agencije.</w:t>
      </w:r>
    </w:p>
    <w:p w14:paraId="58263713"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Od osnivanja Agencije tehnološki, sigurnosni i regulatorni zahtjevi povezani sa identifikacionim dokumentima, elektronskim evidencijama, razmjenom podataka, digitalnim potpisivanjem i elektronskom identifikacijom kontinuirano se razvijaju. Istovremeno raste zavisnost nadležnih organa od raspoloživosti, integriteta, sigurnosti i interoperabilnosti sistema koje Agencija razvija i održava u okviru svojih zakonskih nadležnosti.</w:t>
      </w:r>
    </w:p>
    <w:p w14:paraId="4D1BAABE"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Strategija razvoja IDDEEA BiH za period 2027–2031. godine predstavlja razvojni i planski dokument kojim se utvrđuju prioriteti daljeg tehnološkog, organizacionog, sigurnosnog, infrastrukturnog i kadrovskog razvoja Agencije radi sigurnijeg, pouzdanijeg i efikasnijeg izvršavanja postojećih zakonskih nadležnosti.</w:t>
      </w:r>
    </w:p>
    <w:p w14:paraId="397228DE"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Strategija ne uspostavlja nove nadležnosti Agencije, ne predstavlja pravni osnov za preuzimanje poslova drugih institucija i ne mijenja zakonom utvrđenu raspodjelu nadležnosti. Svaka mjera i aktivnost utvrđena ovom Strategijom provodi se u okviru važećih propisa Bosne i Hercegovine.</w:t>
      </w:r>
    </w:p>
    <w:p w14:paraId="6B96B16D"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Razvoj tehnologije, povećanje obima elektronske razmjene podataka, rast zahtjeva za dostupnošću informacionih sistema, razvoj biometrijskih tehnologija, digitalnog identiteta, elektronskog potpisa i usluga povjerenja, kao i sve složenije cyber prijetnje, zahtijevaju kontinuirano tehnološko unapređenje načina na koji Agencija izvršava svoje postojeće zakonske funkcije.</w:t>
      </w:r>
    </w:p>
    <w:p w14:paraId="0F218834"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Zbog toga Strategija obuhvata razvoj identifikacionih dokumenata i sistema personalizacije, centralnih evidencija, Sistema IDDEEA, mreže za prijenos podataka, sigurne razmjene podataka i interoperabilnosti, digitalnog identiteta, digitalnog potpisivanja i certifikacijske infrastrukture, informacione i cyber sigurnosti, zaštite ličnih podataka, kontinuiteta poslovanja, međunarodne interoperabilnosti i institucionalnih kapaciteta.</w:t>
      </w:r>
    </w:p>
    <w:p w14:paraId="1472F20F"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Evropski propisi, međunarodni standardi i tehničke specifikacije predstavljaju važan razvojni i referentni okvir. Njihova primjena u okviru ove Strategije podrazumijeva unapređenje načina izvršavanja postojećih nadležnosti Agencije, a ne samostalno uspostavljanje novih nadležnosti.</w:t>
      </w:r>
    </w:p>
    <w:p w14:paraId="074C8AE6" w14:textId="40C06BE6"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U tom smislu Strategija polazi od principa: pravni osnov – zakonska nadležnost – postojeća funkcija – razvojna potreba – strateška mjera – mjerljivi rezultat.</w:t>
      </w:r>
    </w:p>
    <w:p w14:paraId="68B5777A" w14:textId="77777777" w:rsidR="001F77DD" w:rsidRDefault="00D97F9C">
      <w:pPr>
        <w:spacing w:after="0" w:line="360" w:lineRule="auto"/>
        <w:ind w:firstLine="720"/>
        <w:jc w:val="both"/>
        <w:outlineLvl w:val="1"/>
        <w:rPr>
          <w:rFonts w:ascii="Arial" w:hAnsi="Arial" w:cs="Arial"/>
          <w:b/>
          <w:sz w:val="20"/>
          <w:szCs w:val="20"/>
          <w:lang w:val="sr-Latn-BA"/>
        </w:rPr>
      </w:pPr>
      <w:r>
        <w:rPr>
          <w:rFonts w:ascii="Arial" w:hAnsi="Arial" w:cs="Arial"/>
          <w:b/>
          <w:sz w:val="20"/>
          <w:szCs w:val="20"/>
          <w:lang w:val="sr-Latn-BA"/>
        </w:rPr>
        <w:lastRenderedPageBreak/>
        <w:t>1.1. Predmet i svrha Strategije</w:t>
      </w:r>
    </w:p>
    <w:p w14:paraId="14B563FB"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Predmet Strategije je utvrđivanje razvojnih pravaca IDDEEA-e za period 2027–2031. godine u oblastima koje pripadaju zakonskom djelokrugu Agencije.</w:t>
      </w:r>
    </w:p>
    <w:p w14:paraId="0DC953CD"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Svrha Strategije je osigurati dugoročno planiranje razvoja kritičnih tehničkih i institucionalnih kapaciteta Agencije, kontinuitet i sigurnost ključnih sistema, unapređenje kvaliteta i dostupnosti podataka i sistema, razvoj sigurnih identitetskih i certifikacijskih funkcija te usklađivanje tehničkih rješenja sa relevantnim međunarodnim standardima.</w:t>
      </w:r>
    </w:p>
    <w:p w14:paraId="30F8303F" w14:textId="67E6212C"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Strategija se provodi kroz srednjoročne i godišnje planove rada, budžetsko planiranje, programe kapitalnih ulaganja, projekte međunarodne saradnje i druge instrumente koji se donose u skladu sa važećim propisima.</w:t>
      </w:r>
    </w:p>
    <w:p w14:paraId="02938980" w14:textId="77777777" w:rsidR="001F77DD" w:rsidRDefault="001F77DD">
      <w:pPr>
        <w:spacing w:after="0" w:line="360" w:lineRule="auto"/>
        <w:jc w:val="both"/>
        <w:rPr>
          <w:rFonts w:ascii="Arial" w:eastAsia="Times New Roman" w:hAnsi="Arial" w:cs="Arial"/>
          <w:sz w:val="20"/>
          <w:szCs w:val="20"/>
          <w:lang w:val="sr-Latn-BA" w:eastAsia="sr-Latn-CS"/>
        </w:rPr>
      </w:pPr>
    </w:p>
    <w:p w14:paraId="58A20FCF" w14:textId="0ADCF487" w:rsidR="001F77DD" w:rsidRDefault="00D97F9C">
      <w:pPr>
        <w:pStyle w:val="ListParagraph"/>
        <w:numPr>
          <w:ilvl w:val="1"/>
          <w:numId w:val="19"/>
        </w:numPr>
        <w:spacing w:after="0" w:line="360" w:lineRule="auto"/>
        <w:jc w:val="both"/>
        <w:outlineLvl w:val="1"/>
        <w:rPr>
          <w:rFonts w:ascii="Arial" w:eastAsia="Times New Roman" w:hAnsi="Arial" w:cs="Arial"/>
          <w:b/>
          <w:sz w:val="20"/>
          <w:szCs w:val="20"/>
          <w:lang w:val="sr-Latn-BA" w:eastAsia="sr-Latn-CS"/>
        </w:rPr>
      </w:pPr>
      <w:bookmarkStart w:id="1" w:name="_Toc213758695"/>
      <w:r>
        <w:rPr>
          <w:rFonts w:ascii="Arial" w:hAnsi="Arial" w:cs="Arial"/>
          <w:b/>
          <w:sz w:val="20"/>
          <w:szCs w:val="20"/>
          <w:lang w:val="sr-Latn-BA"/>
        </w:rPr>
        <w:t>Metodologija razvoja Strategije</w:t>
      </w:r>
      <w:bookmarkEnd w:id="1"/>
    </w:p>
    <w:p w14:paraId="740A7197"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Strategija je izrađena na osnovu analize važećeg pravnog okvira, postojećih poslova i sistema Agencije, raspoloživih ljudskih, tehničkih, infrastrukturnih i finansijskih kapaciteta, identifikovanih operativnih i sigurnosnih rizika, razvojnih potreba organizacionih jedinica te relevantnih međunarodnih tehničkih standarda.</w:t>
      </w:r>
    </w:p>
    <w:p w14:paraId="4FB49435"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Poseban metodološki princip predstavlja provjera pravnog osnova svake strateške mjere. U Akcionom planu uz svaku mjeru navodi se pravni osnov, konkretna funkcija IDDEEA-e, eventualni partnerski ili nadležni organ, indikator rezultata, početna vrijednost, ciljna vrijednost, rok i izvor finansiranja.</w:t>
      </w:r>
    </w:p>
    <w:p w14:paraId="5DA693E3"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Na ovaj način osigurava se da Strategija ostane razvojni dokument za izvršavanje postojećih zakonskih nadležnosti i da se njome ne uspostavljaju nove funkcije Agencije.</w:t>
      </w:r>
    </w:p>
    <w:p w14:paraId="489E1852" w14:textId="59657C3E" w:rsidR="001F77DD" w:rsidRDefault="001F77DD">
      <w:pPr>
        <w:spacing w:after="0" w:line="360" w:lineRule="auto"/>
        <w:contextualSpacing/>
        <w:jc w:val="both"/>
        <w:outlineLvl w:val="1"/>
        <w:rPr>
          <w:rFonts w:ascii="Arial" w:eastAsia="Times New Roman" w:hAnsi="Arial" w:cs="Arial"/>
          <w:b/>
          <w:sz w:val="20"/>
          <w:szCs w:val="20"/>
          <w:lang w:val="sr-Latn-BA" w:eastAsia="sr-Latn-CS"/>
        </w:rPr>
      </w:pPr>
    </w:p>
    <w:p w14:paraId="6B211307" w14:textId="77777777" w:rsidR="001F77DD" w:rsidRDefault="00D97F9C">
      <w:pPr>
        <w:numPr>
          <w:ilvl w:val="1"/>
          <w:numId w:val="19"/>
        </w:numPr>
        <w:spacing w:after="0" w:line="360" w:lineRule="auto"/>
        <w:contextualSpacing/>
        <w:jc w:val="both"/>
        <w:outlineLvl w:val="1"/>
        <w:rPr>
          <w:rFonts w:ascii="Arial" w:eastAsia="Times New Roman" w:hAnsi="Arial" w:cs="Arial"/>
          <w:b/>
          <w:sz w:val="20"/>
          <w:szCs w:val="20"/>
          <w:lang w:val="sr-Latn-BA" w:eastAsia="sr-Latn-CS"/>
        </w:rPr>
      </w:pPr>
      <w:bookmarkStart w:id="2" w:name="_Toc213758696"/>
      <w:r>
        <w:rPr>
          <w:rFonts w:ascii="Arial" w:eastAsia="Times New Roman" w:hAnsi="Arial" w:cs="Arial"/>
          <w:b/>
          <w:sz w:val="20"/>
          <w:szCs w:val="20"/>
          <w:lang w:val="sr-Latn-BA" w:eastAsia="sr-Latn-CS"/>
        </w:rPr>
        <w:t>Vizija i misija</w:t>
      </w:r>
      <w:bookmarkEnd w:id="2"/>
    </w:p>
    <w:p w14:paraId="34F1B2D9" w14:textId="585627A7" w:rsidR="001F77DD" w:rsidRDefault="00D97F9C">
      <w:pPr>
        <w:spacing w:after="0" w:line="360" w:lineRule="auto"/>
        <w:jc w:val="center"/>
        <w:rPr>
          <w:rFonts w:ascii="Arial" w:eastAsia="Times New Roman" w:hAnsi="Arial" w:cs="Arial"/>
          <w:b/>
          <w:i/>
          <w:sz w:val="20"/>
          <w:szCs w:val="20"/>
          <w:lang w:val="sr-Latn-BA" w:eastAsia="sr-Latn-CS"/>
        </w:rPr>
      </w:pPr>
      <w:r>
        <w:rPr>
          <w:rFonts w:ascii="Arial" w:eastAsia="Times New Roman" w:hAnsi="Arial" w:cs="Arial"/>
          <w:b/>
          <w:i/>
          <w:sz w:val="20"/>
          <w:szCs w:val="20"/>
          <w:lang w:val="sr-Latn-BA" w:eastAsia="sr-Latn-CS"/>
        </w:rPr>
        <w:t>Vizija</w:t>
      </w:r>
    </w:p>
    <w:p w14:paraId="066E440A" w14:textId="66F5C927" w:rsidR="001F77DD" w:rsidRDefault="00D97F9C">
      <w:pPr>
        <w:spacing w:after="0" w:line="360" w:lineRule="auto"/>
        <w:jc w:val="both"/>
        <w:rPr>
          <w:rFonts w:ascii="Arial" w:eastAsia="Times New Roman" w:hAnsi="Arial" w:cs="Arial"/>
          <w:i/>
          <w:sz w:val="20"/>
          <w:szCs w:val="20"/>
          <w:lang w:val="sr-Latn-BA" w:eastAsia="sr-Latn-CS"/>
        </w:rPr>
      </w:pPr>
      <w:r>
        <w:rPr>
          <w:rFonts w:ascii="Arial" w:eastAsia="Times New Roman" w:hAnsi="Arial" w:cs="Arial"/>
          <w:i/>
          <w:sz w:val="20"/>
          <w:szCs w:val="20"/>
          <w:lang w:val="sr-Latn-BA" w:eastAsia="sr-Latn-CS"/>
        </w:rPr>
        <w:t>IDDEEA BiH je pouzdana, sigurna, tehnološki napredna i međunarodno interoperabilna državna institucija koja, u okviru zakonom utvrđenih nadležnosti, osigurava razvoj i kontinuitet sistema identifikacionih dokumenata, centralnih evidencija, sigurne razmjene podataka, digitalnog identiteta, digitalnog potpisivanja i pripadajuće informaciono-komunikacione infrastrukture, uz primjenu visokih standarda sigurnosti, zaštite ličnih podataka, kvaliteta i interoperabilnosti.</w:t>
      </w:r>
    </w:p>
    <w:p w14:paraId="73E26167" w14:textId="77777777" w:rsidR="001F77DD" w:rsidRDefault="001F77DD">
      <w:pPr>
        <w:spacing w:after="0" w:line="360" w:lineRule="auto"/>
        <w:jc w:val="center"/>
        <w:rPr>
          <w:rFonts w:ascii="Arial" w:eastAsia="Times New Roman" w:hAnsi="Arial" w:cs="Arial"/>
          <w:b/>
          <w:sz w:val="20"/>
          <w:szCs w:val="20"/>
          <w:lang w:val="sr-Latn-BA" w:eastAsia="sr-Latn-CS"/>
        </w:rPr>
      </w:pPr>
    </w:p>
    <w:p w14:paraId="6B4EB244" w14:textId="2257651A" w:rsidR="001F77DD" w:rsidRDefault="00D97F9C">
      <w:pPr>
        <w:spacing w:after="0" w:line="360" w:lineRule="auto"/>
        <w:jc w:val="center"/>
        <w:rPr>
          <w:rFonts w:ascii="Arial" w:eastAsia="Times New Roman" w:hAnsi="Arial" w:cs="Arial"/>
          <w:b/>
          <w:i/>
          <w:sz w:val="20"/>
          <w:szCs w:val="20"/>
          <w:lang w:val="sr-Latn-BA" w:eastAsia="sr-Latn-CS"/>
        </w:rPr>
      </w:pPr>
      <w:r>
        <w:rPr>
          <w:rFonts w:ascii="Arial" w:eastAsia="Times New Roman" w:hAnsi="Arial" w:cs="Arial"/>
          <w:b/>
          <w:i/>
          <w:sz w:val="20"/>
          <w:szCs w:val="20"/>
          <w:lang w:val="sr-Latn-BA" w:eastAsia="sr-Latn-CS"/>
        </w:rPr>
        <w:t>Misija</w:t>
      </w:r>
      <w:r>
        <w:rPr>
          <w:rFonts w:ascii="Arial" w:eastAsia="Calibri" w:hAnsi="Arial" w:cs="Arial"/>
          <w:lang w:val="sr-Latn-BA"/>
        </w:rPr>
        <w:br/>
      </w:r>
    </w:p>
    <w:p w14:paraId="14965A0E" w14:textId="3DC84508" w:rsidR="001F77DD" w:rsidRDefault="00D97F9C">
      <w:pPr>
        <w:spacing w:after="0" w:line="360" w:lineRule="auto"/>
        <w:jc w:val="both"/>
        <w:rPr>
          <w:rFonts w:ascii="Arial" w:eastAsia="Times New Roman" w:hAnsi="Arial" w:cs="Arial"/>
          <w:i/>
          <w:sz w:val="20"/>
          <w:szCs w:val="20"/>
          <w:lang w:val="sr-Latn-BA" w:eastAsia="sr-Latn-CS"/>
        </w:rPr>
      </w:pPr>
      <w:r>
        <w:rPr>
          <w:rFonts w:ascii="Arial" w:eastAsia="Times New Roman" w:hAnsi="Arial" w:cs="Arial"/>
          <w:i/>
          <w:sz w:val="20"/>
          <w:szCs w:val="20"/>
          <w:lang w:val="sr-Latn-BA" w:eastAsia="sr-Latn-CS"/>
        </w:rPr>
        <w:t xml:space="preserve">Misija IDDEEA-e je sigurno, pouzdano, kontinuirano i tehnološki savremeno izvršavanje i unapređenje zakonom povjerenih poslova personalizacije i tehničke obrade identifikacionih dokumenata, tehničkog vođenja, održavanja i elektronskog arhiviranja centralnih evidencija, razvoja i održavanja Sistema IDDEEA, sigurne razmjene podataka, telekomunikacione infrastrukture, digitalnog identiteta, digitalnog potpisivanja </w:t>
      </w:r>
      <w:r>
        <w:rPr>
          <w:rFonts w:ascii="Arial" w:eastAsia="Times New Roman" w:hAnsi="Arial" w:cs="Arial"/>
          <w:i/>
          <w:sz w:val="20"/>
          <w:szCs w:val="20"/>
          <w:lang w:val="sr-Latn-BA" w:eastAsia="sr-Latn-CS"/>
        </w:rPr>
        <w:lastRenderedPageBreak/>
        <w:t>i elektronskih certifikata u zakonom utvrđenom okviru te međunarodne saradnje u oblastima iz nadležnosti Agencije.</w:t>
      </w:r>
    </w:p>
    <w:p w14:paraId="024DF1FD" w14:textId="77777777" w:rsidR="001F77DD" w:rsidRDefault="001F77DD">
      <w:pPr>
        <w:spacing w:after="0" w:line="360" w:lineRule="auto"/>
        <w:ind w:left="720"/>
        <w:contextualSpacing/>
        <w:jc w:val="both"/>
        <w:rPr>
          <w:rFonts w:ascii="Arial" w:eastAsia="Times New Roman" w:hAnsi="Arial" w:cs="Arial"/>
          <w:sz w:val="20"/>
          <w:szCs w:val="20"/>
          <w:lang w:val="sr-Latn-BA" w:eastAsia="sr-Latn-CS"/>
        </w:rPr>
      </w:pPr>
    </w:p>
    <w:p w14:paraId="16A50BDD" w14:textId="77777777" w:rsidR="001F77DD" w:rsidRDefault="001F77DD">
      <w:pPr>
        <w:spacing w:after="0" w:line="360" w:lineRule="auto"/>
        <w:jc w:val="both"/>
        <w:rPr>
          <w:rFonts w:ascii="Arial" w:eastAsia="Times New Roman" w:hAnsi="Arial" w:cs="Arial"/>
          <w:sz w:val="20"/>
          <w:szCs w:val="20"/>
          <w:lang w:val="sr-Latn-BA" w:eastAsia="sr-Latn-CS"/>
        </w:rPr>
      </w:pPr>
    </w:p>
    <w:p w14:paraId="08C4E5E3" w14:textId="77777777" w:rsidR="001F77DD" w:rsidRDefault="001F77DD">
      <w:pPr>
        <w:spacing w:after="0" w:line="360" w:lineRule="auto"/>
        <w:jc w:val="both"/>
        <w:rPr>
          <w:rFonts w:ascii="Arial" w:eastAsia="Times New Roman" w:hAnsi="Arial" w:cs="Arial"/>
          <w:sz w:val="20"/>
          <w:szCs w:val="20"/>
          <w:lang w:val="sr-Latn-BA" w:eastAsia="sr-Latn-CS"/>
        </w:rPr>
      </w:pPr>
    </w:p>
    <w:p w14:paraId="04B3ED71" w14:textId="77777777" w:rsidR="001F77DD" w:rsidRDefault="001F77DD">
      <w:pPr>
        <w:spacing w:after="0" w:line="360" w:lineRule="auto"/>
        <w:jc w:val="both"/>
        <w:rPr>
          <w:rFonts w:ascii="Arial" w:eastAsia="Times New Roman" w:hAnsi="Arial" w:cs="Arial"/>
          <w:sz w:val="20"/>
          <w:szCs w:val="20"/>
          <w:lang w:val="sr-Latn-BA" w:eastAsia="sr-Latn-CS"/>
        </w:rPr>
      </w:pPr>
    </w:p>
    <w:p w14:paraId="05A8AF78" w14:textId="77777777" w:rsidR="001F77DD" w:rsidRDefault="001F77DD">
      <w:pPr>
        <w:spacing w:after="0" w:line="360" w:lineRule="auto"/>
        <w:jc w:val="both"/>
        <w:rPr>
          <w:rFonts w:ascii="Arial" w:eastAsia="Times New Roman" w:hAnsi="Arial" w:cs="Arial"/>
          <w:sz w:val="20"/>
          <w:szCs w:val="20"/>
          <w:lang w:val="sr-Latn-BA" w:eastAsia="sr-Latn-CS"/>
        </w:rPr>
      </w:pPr>
    </w:p>
    <w:p w14:paraId="3360308A" w14:textId="77777777" w:rsidR="001F77DD" w:rsidRDefault="00D97F9C">
      <w:pPr>
        <w:spacing w:after="0" w:line="360" w:lineRule="auto"/>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br w:type="page" w:clear="all"/>
      </w:r>
    </w:p>
    <w:p w14:paraId="54C4DC00" w14:textId="77777777" w:rsidR="001F77DD" w:rsidRDefault="001F77DD">
      <w:pPr>
        <w:spacing w:after="0" w:line="360" w:lineRule="auto"/>
        <w:jc w:val="both"/>
        <w:rPr>
          <w:rFonts w:ascii="Arial" w:eastAsia="Times New Roman" w:hAnsi="Arial" w:cs="Arial"/>
          <w:b/>
          <w:color w:val="C00000"/>
          <w:sz w:val="20"/>
          <w:szCs w:val="20"/>
          <w:lang w:val="sr-Latn-BA" w:eastAsia="sr-Latn-CS"/>
        </w:rPr>
        <w:sectPr w:rsidR="001F77DD">
          <w:headerReference w:type="default" r:id="rId8"/>
          <w:footerReference w:type="default" r:id="rId9"/>
          <w:headerReference w:type="first" r:id="rId10"/>
          <w:footerReference w:type="first" r:id="rId11"/>
          <w:pgSz w:w="12240" w:h="15840"/>
          <w:pgMar w:top="1440" w:right="1440" w:bottom="1440" w:left="1440" w:header="708" w:footer="708" w:gutter="0"/>
          <w:cols w:space="708"/>
          <w:titlePg/>
        </w:sectPr>
      </w:pPr>
    </w:p>
    <w:p w14:paraId="603B7894" w14:textId="21AAA546" w:rsidR="001F77DD" w:rsidRDefault="00D97F9C">
      <w:pPr>
        <w:spacing w:after="0" w:line="240" w:lineRule="auto"/>
        <w:jc w:val="both"/>
        <w:rPr>
          <w:rFonts w:ascii="Arial" w:eastAsia="Times New Roman" w:hAnsi="Arial" w:cs="Arial"/>
          <w:b/>
          <w:bCs/>
          <w:szCs w:val="24"/>
          <w:lang w:val="sr-Latn-BA" w:eastAsia="bs-Latn-BA"/>
        </w:rPr>
      </w:pPr>
      <w:r>
        <w:rPr>
          <w:rFonts w:ascii="Arial" w:eastAsia="Times New Roman" w:hAnsi="Arial" w:cs="Arial"/>
          <w:b/>
          <w:bCs/>
          <w:szCs w:val="24"/>
          <w:lang w:val="sr-Latn-BA" w:eastAsia="bs-Latn-BA"/>
        </w:rPr>
        <w:lastRenderedPageBreak/>
        <w:t>1.4. Strateški principi</w:t>
      </w:r>
    </w:p>
    <w:p w14:paraId="4591127E" w14:textId="77777777" w:rsidR="001F77DD" w:rsidRDefault="001F77DD">
      <w:pPr>
        <w:spacing w:after="0" w:line="240" w:lineRule="auto"/>
        <w:jc w:val="both"/>
        <w:rPr>
          <w:rFonts w:ascii="Arial" w:eastAsia="Calibri" w:hAnsi="Arial" w:cs="Arial"/>
          <w:bCs/>
          <w:iCs/>
          <w:sz w:val="20"/>
          <w:szCs w:val="20"/>
          <w:lang w:val="sr-Latn-BA"/>
        </w:rPr>
      </w:pPr>
    </w:p>
    <w:p w14:paraId="0FF74829"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Provođenje Strategije zasniva se na načelima zakonitosti i djelovanja u granicama nadležnosti, sigurnosti po dizajnu, zaštite ličnih podataka po dizajnu i po zadanim postavkama, tehnološke neutralnosti, interoperabilnosti, kontinuiteta poslovanja, otpornosti, dostupnosti, odgovornosti, sljedivosti, integriteta, profesionalnosti, transparentnosti, racionalnog upravljanja javnim resursima i međunarodne kompatibilnosti.</w:t>
      </w:r>
    </w:p>
    <w:p w14:paraId="5144C642" w14:textId="77777777" w:rsidR="001F77DD" w:rsidRDefault="001F77DD">
      <w:pPr>
        <w:spacing w:after="0" w:line="360" w:lineRule="auto"/>
        <w:contextualSpacing/>
        <w:jc w:val="both"/>
        <w:outlineLvl w:val="0"/>
        <w:rPr>
          <w:rFonts w:ascii="Arial" w:eastAsia="Calibri" w:hAnsi="Arial" w:cs="Arial"/>
          <w:bCs/>
          <w:iCs/>
          <w:sz w:val="20"/>
          <w:szCs w:val="20"/>
          <w:lang w:val="sr-Latn-BA"/>
        </w:rPr>
      </w:pPr>
    </w:p>
    <w:p w14:paraId="673667AA" w14:textId="6A5B7282" w:rsidR="001F77DD" w:rsidRDefault="00D97F9C">
      <w:pPr>
        <w:spacing w:after="0" w:line="360" w:lineRule="auto"/>
        <w:contextualSpacing/>
        <w:jc w:val="both"/>
        <w:outlineLvl w:val="0"/>
        <w:rPr>
          <w:rFonts w:ascii="Arial" w:eastAsia="Calibri" w:hAnsi="Arial" w:cs="Arial"/>
          <w:b/>
          <w:color w:val="C00000"/>
          <w:sz w:val="20"/>
          <w:szCs w:val="20"/>
          <w:lang w:val="sr-Latn-BA"/>
        </w:rPr>
      </w:pPr>
      <w:r>
        <w:rPr>
          <w:rFonts w:ascii="Arial" w:eastAsia="Calibri" w:hAnsi="Arial" w:cs="Arial"/>
          <w:bCs/>
          <w:iCs/>
          <w:sz w:val="20"/>
          <w:szCs w:val="20"/>
          <w:lang w:val="sr-Latn-BA"/>
        </w:rPr>
        <w:t>Razvoj nove tehničke mogućnosti ne smatra se sam po sebi pravnim osnovom za njenu upotrebu. Prije uvođenja funkcionalnosti koja uključuje pristup ili obradu podataka mora biti utvrđen odgovarajući pravni osnov, svrha, kategorija ovlaštenih korisnika, obim podataka i odgovarajuće tehničke i organizacione mjere zaštite.</w:t>
      </w:r>
    </w:p>
    <w:p w14:paraId="68944467" w14:textId="736864EE" w:rsidR="001F77DD" w:rsidRDefault="001F77DD">
      <w:pPr>
        <w:spacing w:after="0" w:line="360" w:lineRule="auto"/>
        <w:ind w:left="720"/>
        <w:contextualSpacing/>
        <w:jc w:val="both"/>
        <w:outlineLvl w:val="0"/>
        <w:rPr>
          <w:rFonts w:ascii="Arial" w:eastAsia="Calibri" w:hAnsi="Arial" w:cs="Arial"/>
          <w:bCs/>
          <w:iCs/>
          <w:sz w:val="20"/>
          <w:szCs w:val="20"/>
          <w:lang w:val="sr-Latn-BA"/>
        </w:rPr>
      </w:pPr>
    </w:p>
    <w:p w14:paraId="74EC886B" w14:textId="7FF50C68" w:rsidR="001F77DD" w:rsidRDefault="00D97F9C">
      <w:pPr>
        <w:pStyle w:val="ListParagraph"/>
        <w:numPr>
          <w:ilvl w:val="1"/>
          <w:numId w:val="17"/>
        </w:numPr>
        <w:spacing w:before="100" w:beforeAutospacing="1" w:after="100" w:afterAutospacing="1" w:line="240" w:lineRule="auto"/>
        <w:outlineLvl w:val="0"/>
        <w:rPr>
          <w:rFonts w:ascii="Arial" w:eastAsia="Times New Roman" w:hAnsi="Arial" w:cs="Arial"/>
          <w:b/>
          <w:bCs/>
          <w:sz w:val="24"/>
          <w:szCs w:val="24"/>
          <w:lang w:val="sr-Latn-BA" w:eastAsia="bs-Latn-BA"/>
        </w:rPr>
      </w:pPr>
      <w:r>
        <w:rPr>
          <w:rFonts w:ascii="Arial" w:eastAsia="Times New Roman" w:hAnsi="Arial" w:cs="Arial"/>
          <w:b/>
          <w:bCs/>
          <w:sz w:val="24"/>
          <w:szCs w:val="24"/>
          <w:lang w:val="sr-Latn-BA" w:eastAsia="bs-Latn-BA"/>
        </w:rPr>
        <w:t>PRAVNI I INSTITUCIONALNI OKVIR</w:t>
      </w:r>
    </w:p>
    <w:p w14:paraId="3D2A6272" w14:textId="3C81279F" w:rsidR="001F77DD" w:rsidRDefault="00D97F9C">
      <w:pPr>
        <w:spacing w:before="100" w:beforeAutospacing="1" w:after="100" w:afterAutospacing="1" w:line="240" w:lineRule="auto"/>
        <w:ind w:left="360"/>
        <w:outlineLvl w:val="1"/>
        <w:rPr>
          <w:rFonts w:ascii="Arial" w:eastAsia="Times New Roman" w:hAnsi="Arial" w:cs="Arial"/>
          <w:b/>
          <w:bCs/>
          <w:sz w:val="24"/>
          <w:szCs w:val="24"/>
          <w:lang w:val="sr-Latn-BA" w:eastAsia="bs-Latn-BA"/>
        </w:rPr>
      </w:pPr>
      <w:r>
        <w:rPr>
          <w:rFonts w:ascii="Arial" w:eastAsia="Times New Roman" w:hAnsi="Arial" w:cs="Arial"/>
          <w:b/>
          <w:bCs/>
          <w:sz w:val="24"/>
          <w:szCs w:val="24"/>
          <w:lang w:val="sr-Latn-BA" w:eastAsia="bs-Latn-BA"/>
        </w:rPr>
        <w:t>2.1. Položaj i zakonski mandat Agencije</w:t>
      </w:r>
    </w:p>
    <w:p w14:paraId="568143BB"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Osnovni pravni okvir za položaj, djelokrug i nadležnosti Agencije utvrđen je Zakonom o Agenciji za identifikacione dokumente, evidenciju i razmjenu podataka Bosne i Hercegovine.</w:t>
      </w:r>
    </w:p>
    <w:p w14:paraId="38103FEA"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Članom 8. Zakona utvrđene su funkcije Agencije koje obuhvataju, između ostalog, razvoj politike u oblasti identifikacionih dokumenata, personalizaciju i tehničku obradu dokumenata, tehničko projektovanje i formiranje evidencija, održavanje i upravljanje bazama i informacionim sistemima, osiguravanje infrastrukture i zaštite podataka, izdavanje podataka ovlaštenim subjektima, razvoj potrebnih softverskih rješenja, razvoj, održavanje i unapređenje telekomunikacionih mreža, utvrđivanje tehničkih standarda i standarda sigurnog pristupa, digitalno potpisivanje u zakonom utvrđenom okviru i međunarodnu saradnju.</w:t>
      </w:r>
    </w:p>
    <w:p w14:paraId="37DA80FC"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sz w:val="20"/>
          <w:szCs w:val="20"/>
          <w:lang w:val="sr-Latn-BA"/>
        </w:rPr>
        <w:t>Značaj i obaveznost poštivanja ovako uspostavljenog državnog zakonskog okvira potvrđeni su i Odlukom Ustavnog suda Bosne i Hercegovine o dopustivosti i meritumu broj U-1/25 od 26. marta 2026. godine. Ovom presudom je Ustavni sud Bosne i Hercegovine potvrdio da se zakonom uspostavljene nadležnosti Agencije i odgovarajući državni regulatorni okvir ne mogu mijenjati ili zaobilaziti neusklađenim entitetskim propisima.</w:t>
      </w:r>
      <w:r>
        <w:rPr>
          <w:rFonts w:ascii="Arial" w:eastAsia="Calibri" w:hAnsi="Arial" w:cs="Arial"/>
          <w:bCs/>
          <w:iCs/>
          <w:sz w:val="20"/>
          <w:szCs w:val="20"/>
          <w:lang w:val="sr-Latn-BA"/>
        </w:rPr>
        <w:t>Navedene zakonske funkcije predstavljaju osnov za strateške ciljeve i mjere utvrđene ovom Strategijom.</w:t>
      </w:r>
    </w:p>
    <w:p w14:paraId="1C483300" w14:textId="526D35FE" w:rsidR="001F77DD" w:rsidRDefault="001F77DD">
      <w:pPr>
        <w:spacing w:after="0" w:line="360" w:lineRule="auto"/>
        <w:contextualSpacing/>
        <w:jc w:val="both"/>
        <w:outlineLvl w:val="0"/>
        <w:rPr>
          <w:rFonts w:ascii="Arial" w:eastAsia="Calibri" w:hAnsi="Arial" w:cs="Arial"/>
          <w:bCs/>
          <w:iCs/>
          <w:sz w:val="20"/>
          <w:szCs w:val="20"/>
          <w:lang w:val="sr-Latn-BA"/>
        </w:rPr>
      </w:pPr>
    </w:p>
    <w:p w14:paraId="769CAE84" w14:textId="77777777" w:rsidR="001F77DD" w:rsidRDefault="001F77DD">
      <w:pPr>
        <w:spacing w:after="0" w:line="360" w:lineRule="auto"/>
        <w:jc w:val="both"/>
        <w:outlineLvl w:val="1"/>
        <w:rPr>
          <w:rFonts w:ascii="Arial" w:eastAsia="Times New Roman" w:hAnsi="Arial" w:cs="Arial"/>
          <w:b/>
          <w:color w:val="FF0000"/>
          <w:sz w:val="20"/>
          <w:szCs w:val="20"/>
          <w:lang w:val="sr-Latn-BA"/>
        </w:rPr>
      </w:pPr>
      <w:bookmarkStart w:id="3" w:name="_Toc213758694"/>
    </w:p>
    <w:p w14:paraId="010C14C6" w14:textId="24FC1ACB" w:rsidR="001F77DD" w:rsidRDefault="00D97F9C">
      <w:pPr>
        <w:spacing w:after="0" w:line="360" w:lineRule="auto"/>
        <w:jc w:val="both"/>
        <w:outlineLvl w:val="1"/>
        <w:rPr>
          <w:rFonts w:ascii="Arial" w:eastAsia="Times New Roman" w:hAnsi="Arial" w:cs="Arial"/>
          <w:b/>
          <w:sz w:val="20"/>
          <w:szCs w:val="20"/>
          <w:lang w:val="sr-Latn-BA"/>
        </w:rPr>
      </w:pPr>
      <w:r>
        <w:rPr>
          <w:rFonts w:ascii="Arial" w:eastAsia="Times New Roman" w:hAnsi="Arial" w:cs="Arial"/>
          <w:b/>
          <w:sz w:val="20"/>
          <w:szCs w:val="20"/>
          <w:lang w:val="sr-Latn-BA"/>
        </w:rPr>
        <w:t>Pregled nadležnosti Agencije i institucionalnog okvira</w:t>
      </w:r>
      <w:bookmarkEnd w:id="3"/>
    </w:p>
    <w:p w14:paraId="47859E29" w14:textId="77777777" w:rsidR="001F77DD" w:rsidRDefault="001F77DD">
      <w:pPr>
        <w:spacing w:after="0" w:line="360" w:lineRule="auto"/>
        <w:jc w:val="both"/>
        <w:rPr>
          <w:rFonts w:ascii="Arial" w:eastAsia="Times New Roman" w:hAnsi="Arial" w:cs="Arial"/>
          <w:sz w:val="20"/>
          <w:szCs w:val="20"/>
          <w:lang w:val="sr-Latn-BA" w:eastAsia="sr-Latn-CS"/>
        </w:rPr>
      </w:pPr>
    </w:p>
    <w:p w14:paraId="6C116781"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 xml:space="preserve">Agencija funkcioniše kao ključni državni organ odgovoran za širok spektar aktivnosti vezanih za identifikacione dokumente, evidencije i razmjenu podataka. U skladu sa svojim zakonskim nadležnostima, Agencija predlaže i provodi strategije razvoja u oblasti identifikacionih dokumenata, vrši personalizaciju i </w:t>
      </w:r>
      <w:r>
        <w:rPr>
          <w:rFonts w:ascii="Arial" w:eastAsia="Times New Roman" w:hAnsi="Arial" w:cs="Arial"/>
          <w:sz w:val="20"/>
          <w:szCs w:val="20"/>
          <w:lang w:val="sr-Latn-BA" w:eastAsia="sr-Latn-CS"/>
        </w:rPr>
        <w:lastRenderedPageBreak/>
        <w:t>tehničku obradu ključnih dokumenata poput ličnih karata, vozačkih dozvola i putnih isprava, te održava i tehnički upravlja vitalnim bazama podataka i evidencijama. Agencija je, također, nadležna za razvoj i održavanje softverskih rješenja i telekomunikacionih mreža neophodnih za efikasnu razmjenu podataka među relevantnim institucijama. Agencija se ističe svojim integritetom u upravljanju osjetljivim podacima te je odgovorna za njihovo održavanje i sigurno arhiviranje. Kroz svoje djelovanje u oblasti digitalnog potpisivanja i međunarodne saradnje, Agencija kontinuirano demonstrira posvećenost transparentnosti, efikasnosti i visokim standardima u zaštiti podataka i sigurnosti sistema, čime značajno doprinosi funkcionisanju i sigurnosti državnih struktura u Bosni i Hercegovini.</w:t>
      </w:r>
    </w:p>
    <w:p w14:paraId="72BCB8A5" w14:textId="77777777" w:rsidR="001F77DD" w:rsidRDefault="001F77DD">
      <w:pPr>
        <w:spacing w:after="0" w:line="360" w:lineRule="auto"/>
        <w:jc w:val="both"/>
        <w:rPr>
          <w:rFonts w:ascii="Arial" w:eastAsia="Times New Roman" w:hAnsi="Arial" w:cs="Arial"/>
          <w:sz w:val="20"/>
          <w:szCs w:val="20"/>
          <w:lang w:val="sr-Latn-BA" w:eastAsia="sr-Latn-CS"/>
        </w:rPr>
      </w:pPr>
    </w:p>
    <w:p w14:paraId="4D048AA7"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Ove ključne funkcije i odgovornosti Agencije utemeljene su u zakonodavnom okviru, koji je detaljno prikazan u priloženoj tabeli</w:t>
      </w:r>
      <w:r>
        <w:rPr>
          <w:rFonts w:ascii="Arial" w:eastAsia="Times New Roman" w:hAnsi="Arial" w:cs="Arial"/>
          <w:sz w:val="20"/>
          <w:szCs w:val="20"/>
          <w:vertAlign w:val="superscript"/>
          <w:lang w:val="sr-Latn-BA" w:eastAsia="sr-Latn-CS"/>
        </w:rPr>
        <w:footnoteReference w:id="1"/>
      </w:r>
      <w:r>
        <w:rPr>
          <w:rFonts w:ascii="Arial" w:eastAsia="Times New Roman" w:hAnsi="Arial" w:cs="Arial"/>
          <w:sz w:val="20"/>
          <w:szCs w:val="20"/>
          <w:lang w:val="sr-Latn-BA" w:eastAsia="sr-Latn-CS"/>
        </w:rPr>
        <w:t>. Tabela pruža sveobuhvatan pregled relevantnih zakona, pravilnika i drugih propisa koji definišu djelokrug rada Agencije, uključujući Zakon o Agenciji za identifikacione dokumente, evidenciju i razmjenu podataka BiH. Pored zakonodavnog okvira, tabela ilustruje složenu institucionalnu strukturu i administrativne procese koji omogućavaju Agenciji da efikasno obavlja svoje dužnosti. Posebno je značajan prikaz široke mreže saradnje Agencije sa drugim državnim organima, uključujući ministarstva, policijske uprave i druge relevantne institucije na različitim nivoima vlasti. Ova sveobuhvatna tabela jasno demonstrira centralnu ulogu Agencije u sistemu upravljanja identifikacionim dokumentima i podacima u Bosni i Hercegovini, naglašavajući njenu važnost za funkcionisanje državne administracije i sigurnost građana.</w:t>
      </w:r>
    </w:p>
    <w:p w14:paraId="42BD36BA" w14:textId="77777777" w:rsidR="001F77DD" w:rsidRDefault="001F77DD">
      <w:pPr>
        <w:spacing w:after="0" w:line="360" w:lineRule="auto"/>
        <w:contextualSpacing/>
        <w:jc w:val="both"/>
        <w:outlineLvl w:val="0"/>
        <w:rPr>
          <w:rFonts w:ascii="Arial" w:eastAsia="Calibri" w:hAnsi="Arial" w:cs="Arial"/>
          <w:bCs/>
          <w:iCs/>
          <w:sz w:val="20"/>
          <w:szCs w:val="20"/>
          <w:lang w:val="sr-Latn-BA"/>
        </w:rPr>
      </w:pPr>
    </w:p>
    <w:p w14:paraId="3676CC36" w14:textId="3D974984" w:rsidR="001F77DD" w:rsidRDefault="00D97F9C">
      <w:pPr>
        <w:spacing w:after="0" w:line="360" w:lineRule="auto"/>
        <w:ind w:firstLine="360"/>
        <w:contextualSpacing/>
        <w:jc w:val="both"/>
        <w:outlineLvl w:val="0"/>
        <w:rPr>
          <w:rFonts w:ascii="Arial" w:eastAsia="Calibri" w:hAnsi="Arial" w:cs="Arial"/>
          <w:b/>
          <w:bCs/>
          <w:iCs/>
          <w:sz w:val="20"/>
          <w:szCs w:val="20"/>
          <w:lang w:val="sr-Latn-BA"/>
        </w:rPr>
      </w:pPr>
      <w:r>
        <w:rPr>
          <w:rFonts w:ascii="Arial" w:eastAsia="Calibri" w:hAnsi="Arial" w:cs="Arial"/>
          <w:b/>
          <w:bCs/>
          <w:iCs/>
          <w:sz w:val="20"/>
          <w:szCs w:val="20"/>
          <w:lang w:val="sr-Latn-BA"/>
        </w:rPr>
        <w:t>2.2. Identifikacioni dokumenti i personalizacija</w:t>
      </w:r>
    </w:p>
    <w:p w14:paraId="34FEB5EE" w14:textId="77777777" w:rsidR="001F77DD" w:rsidRDefault="00D97F9C">
      <w:pPr>
        <w:pBdr>
          <w:top w:val="none" w:sz="4" w:space="0" w:color="000000"/>
          <w:left w:val="none" w:sz="4" w:space="0" w:color="000000"/>
          <w:bottom w:val="none" w:sz="4" w:space="0" w:color="000000"/>
          <w:right w:val="none" w:sz="4" w:space="0" w:color="000000"/>
        </w:pBd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Agencija, u skladu s članom 8. stav (1) tačka b) i stavom (2) Zakona o Agenciji, obavlja poslove nabavke, skladištenja, personalizacije, kontrole kvaliteta i transporta identifikacionih dokumenata te njihove tehničke obrade u zakonom i posebnim propisima utvrđenom obimu. Personalizacija i tehnička obrada razlikuju se od vođenja postupka i odlučivanja o izdavanju dokumenta, koji pripadaju nadležnim organima prema propisima za pojedinu vrstu dokumenta.</w:t>
      </w:r>
    </w:p>
    <w:p w14:paraId="7952D789" w14:textId="77777777" w:rsidR="001F77DD" w:rsidRDefault="00D97F9C">
      <w:pPr>
        <w:pBdr>
          <w:top w:val="none" w:sz="4" w:space="0" w:color="000000"/>
          <w:left w:val="none" w:sz="4" w:space="0" w:color="000000"/>
          <w:bottom w:val="none" w:sz="4" w:space="0" w:color="000000"/>
          <w:right w:val="none" w:sz="4" w:space="0" w:color="000000"/>
        </w:pBd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 </w:t>
      </w:r>
    </w:p>
    <w:p w14:paraId="3A65D52A" w14:textId="77777777" w:rsidR="001F77DD" w:rsidRDefault="00D97F9C">
      <w:pPr>
        <w:pBdr>
          <w:top w:val="none" w:sz="4" w:space="0" w:color="000000"/>
          <w:left w:val="none" w:sz="4" w:space="0" w:color="000000"/>
          <w:bottom w:val="none" w:sz="4" w:space="0" w:color="000000"/>
          <w:right w:val="none" w:sz="4" w:space="0" w:color="000000"/>
        </w:pBd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Razvoj novih generacija dokumenata, zaštitnih elemenata i sistema personalizacije predstavlja unapređenje izvršavanja postojećih zakonskih poslova Agencije. Član 8. stav (1) tačka a) Zakona izričito povezuje razvoj strategije i politike identifikacionih dokumenata s ICAO 9303 i drugim relevantnim standardima. Za druge identifikacione dokumente iz člana 8. stav (2) tačka f) potrebno je prethodno ispuniti zakonske uslove, uključujući saglasnost nadležnih organa i posebnu odluku Vijeća ministara Bosne i Hercegovine.</w:t>
      </w:r>
    </w:p>
    <w:p w14:paraId="4E1F9AB4" w14:textId="77777777" w:rsidR="001F77DD" w:rsidRDefault="001F77DD">
      <w:pPr>
        <w:pBdr>
          <w:top w:val="none" w:sz="4" w:space="0" w:color="000000"/>
          <w:left w:val="none" w:sz="4" w:space="0" w:color="000000"/>
          <w:bottom w:val="none" w:sz="4" w:space="0" w:color="000000"/>
          <w:right w:val="none" w:sz="4" w:space="0" w:color="000000"/>
        </w:pBdr>
        <w:spacing w:after="0" w:line="360" w:lineRule="auto"/>
        <w:contextualSpacing/>
        <w:jc w:val="both"/>
        <w:rPr>
          <w:rFonts w:ascii="Arial" w:eastAsia="Calibri" w:hAnsi="Arial" w:cs="Arial"/>
          <w:sz w:val="20"/>
          <w:szCs w:val="20"/>
          <w:lang w:val="sr-Latn-BA"/>
        </w:rPr>
      </w:pPr>
    </w:p>
    <w:p w14:paraId="70A9AA22" w14:textId="77777777" w:rsidR="001F77DD" w:rsidRDefault="001F77DD">
      <w:pPr>
        <w:pBdr>
          <w:top w:val="none" w:sz="4" w:space="0" w:color="000000"/>
          <w:left w:val="none" w:sz="4" w:space="0" w:color="000000"/>
          <w:bottom w:val="none" w:sz="4" w:space="0" w:color="000000"/>
          <w:right w:val="none" w:sz="4" w:space="0" w:color="000000"/>
        </w:pBdr>
        <w:spacing w:after="0" w:line="360" w:lineRule="auto"/>
        <w:contextualSpacing/>
        <w:jc w:val="both"/>
        <w:rPr>
          <w:rFonts w:ascii="Arial" w:eastAsia="Calibri" w:hAnsi="Arial" w:cs="Arial"/>
          <w:sz w:val="20"/>
          <w:szCs w:val="20"/>
          <w:lang w:val="sr-Latn-BA"/>
        </w:rPr>
      </w:pPr>
    </w:p>
    <w:p w14:paraId="1952818F" w14:textId="77777777" w:rsidR="001F77DD" w:rsidRDefault="001F77DD">
      <w:pPr>
        <w:spacing w:after="0" w:line="360" w:lineRule="auto"/>
        <w:ind w:left="720"/>
        <w:contextualSpacing/>
        <w:jc w:val="both"/>
        <w:outlineLvl w:val="0"/>
        <w:rPr>
          <w:rFonts w:ascii="Arial" w:eastAsia="Calibri" w:hAnsi="Arial" w:cs="Arial"/>
          <w:bCs/>
          <w:iCs/>
          <w:sz w:val="20"/>
          <w:szCs w:val="20"/>
          <w:lang w:val="sr-Latn-BA"/>
        </w:rPr>
      </w:pPr>
    </w:p>
    <w:p w14:paraId="0D411C2D" w14:textId="0C8F17E8" w:rsidR="001F77DD" w:rsidRDefault="00D97F9C">
      <w:pPr>
        <w:spacing w:after="0" w:line="360" w:lineRule="auto"/>
        <w:contextualSpacing/>
        <w:jc w:val="both"/>
        <w:outlineLvl w:val="0"/>
        <w:rPr>
          <w:rFonts w:ascii="Arial" w:eastAsia="Calibri" w:hAnsi="Arial" w:cs="Arial"/>
          <w:b/>
          <w:bCs/>
          <w:iCs/>
          <w:sz w:val="20"/>
          <w:szCs w:val="20"/>
          <w:lang w:val="sr-Latn-BA"/>
        </w:rPr>
      </w:pPr>
      <w:r>
        <w:rPr>
          <w:rFonts w:ascii="Arial" w:eastAsia="Calibri" w:hAnsi="Arial" w:cs="Arial"/>
          <w:b/>
          <w:bCs/>
          <w:iCs/>
          <w:sz w:val="20"/>
          <w:szCs w:val="20"/>
          <w:lang w:val="sr-Latn-BA"/>
        </w:rPr>
        <w:lastRenderedPageBreak/>
        <w:t>2.3. Centralne evidencije i vlasništvo nad podacima</w:t>
      </w:r>
    </w:p>
    <w:p w14:paraId="648D4869" w14:textId="77777777" w:rsidR="001F77DD" w:rsidRDefault="00D97F9C">
      <w:pPr>
        <w:pBdr>
          <w:top w:val="none" w:sz="4" w:space="0" w:color="000000"/>
          <w:left w:val="none" w:sz="4" w:space="0" w:color="000000"/>
          <w:bottom w:val="none" w:sz="4" w:space="0" w:color="000000"/>
          <w:right w:val="none" w:sz="4" w:space="0" w:color="000000"/>
        </w:pBd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U skladu s članom 8. st. (3) i (4) i članom 20. Zakona o Agenciji, Agencija vodi i tehnički održava zakonom određene centralne evidencije te je isključivo nadležna za tehničko održavanje i elektronsko arhiviranje podataka i informacija u evidencijama obuhvaćenim članom 8. stav (3). Članom 8. stav (5) izričito je određeno da Agencija nije vlasnik tih podataka, nego je to izvorni organ.</w:t>
      </w:r>
    </w:p>
    <w:p w14:paraId="5D731910" w14:textId="77777777" w:rsidR="001F77DD" w:rsidRDefault="00D97F9C">
      <w:pPr>
        <w:pBdr>
          <w:top w:val="none" w:sz="4" w:space="0" w:color="000000"/>
          <w:left w:val="none" w:sz="4" w:space="0" w:color="000000"/>
          <w:bottom w:val="none" w:sz="4" w:space="0" w:color="000000"/>
          <w:right w:val="none" w:sz="4" w:space="0" w:color="000000"/>
        </w:pBd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Ovakva raspodjela podrazumijeva razlikovanje odgovornosti za izvorne podatke i postupke u kojima oni nastaju od odgovornosti za tehničko funkcioniranje centralnih evidencija. Razvoj aplikacije, baze podataka ili mehanizma razmjene ne mijenja nadležnost izvornog organa niti predstavlja ovlaštenje za samostalno mijenjanje sadržaja podataka izvan propisanog postupka.</w:t>
      </w:r>
    </w:p>
    <w:p w14:paraId="1C4FDE2E" w14:textId="77777777" w:rsidR="001F77DD" w:rsidRDefault="00D97F9C">
      <w:pPr>
        <w:spacing w:after="0" w:line="360" w:lineRule="auto"/>
        <w:contextualSpacing/>
        <w:jc w:val="both"/>
        <w:outlineLvl w:val="0"/>
        <w:rPr>
          <w:rFonts w:ascii="Arial" w:eastAsia="Calibri" w:hAnsi="Arial" w:cs="Arial"/>
          <w:iCs/>
          <w:sz w:val="20"/>
          <w:szCs w:val="20"/>
          <w:lang w:val="sr-Latn-BA"/>
        </w:rPr>
      </w:pPr>
      <w:r>
        <w:rPr>
          <w:rFonts w:ascii="Arial" w:eastAsia="Calibri" w:hAnsi="Arial" w:cs="Arial"/>
          <w:sz w:val="20"/>
          <w:szCs w:val="20"/>
          <w:lang w:val="sr-Latn-BA"/>
        </w:rPr>
        <w:t>Pojam vlasništva izvornog organa nad podacima u smislu Zakona o Agenciji ne zamjenjuje posebno utvrđivanje uloga kontrolora i obrađivača prema propisima o zaštiti ličnih podataka. Te uloge utvrđuju se za konkretnu obradu, prema zakonom određenim svrhama, sredstvima i odgovornostima učesnika.</w:t>
      </w:r>
    </w:p>
    <w:p w14:paraId="3F0B4DC6" w14:textId="77777777" w:rsidR="001F77DD" w:rsidRDefault="001F77DD">
      <w:pPr>
        <w:spacing w:after="0" w:line="360" w:lineRule="auto"/>
        <w:contextualSpacing/>
        <w:jc w:val="both"/>
        <w:outlineLvl w:val="0"/>
        <w:rPr>
          <w:rFonts w:ascii="Arial" w:eastAsia="Calibri" w:hAnsi="Arial" w:cs="Arial"/>
          <w:bCs/>
          <w:iCs/>
          <w:sz w:val="20"/>
          <w:szCs w:val="20"/>
          <w:lang w:val="sr-Latn-BA"/>
        </w:rPr>
      </w:pPr>
    </w:p>
    <w:p w14:paraId="2FB36E36" w14:textId="77777777" w:rsidR="001F77DD" w:rsidRDefault="001F77DD">
      <w:pPr>
        <w:spacing w:after="0" w:line="360" w:lineRule="auto"/>
        <w:ind w:left="720"/>
        <w:contextualSpacing/>
        <w:jc w:val="both"/>
        <w:outlineLvl w:val="0"/>
        <w:rPr>
          <w:rFonts w:ascii="Arial" w:eastAsia="Calibri" w:hAnsi="Arial" w:cs="Arial"/>
          <w:bCs/>
          <w:iCs/>
          <w:sz w:val="20"/>
          <w:szCs w:val="20"/>
          <w:lang w:val="sr-Latn-BA"/>
        </w:rPr>
      </w:pPr>
    </w:p>
    <w:p w14:paraId="1197D9D3" w14:textId="485F3B0F" w:rsidR="001F77DD" w:rsidRDefault="00D97F9C">
      <w:pPr>
        <w:spacing w:after="0" w:line="360" w:lineRule="auto"/>
        <w:contextualSpacing/>
        <w:jc w:val="both"/>
        <w:outlineLvl w:val="0"/>
        <w:rPr>
          <w:rFonts w:ascii="Arial" w:eastAsia="Calibri" w:hAnsi="Arial" w:cs="Arial"/>
          <w:b/>
          <w:bCs/>
          <w:iCs/>
          <w:sz w:val="20"/>
          <w:szCs w:val="20"/>
          <w:lang w:val="sr-Latn-BA"/>
        </w:rPr>
      </w:pPr>
      <w:r>
        <w:rPr>
          <w:rFonts w:ascii="Arial" w:eastAsia="Calibri" w:hAnsi="Arial" w:cs="Arial"/>
          <w:b/>
          <w:bCs/>
          <w:iCs/>
          <w:sz w:val="20"/>
          <w:szCs w:val="20"/>
          <w:lang w:val="sr-Latn-BA"/>
        </w:rPr>
        <w:t>2.4. Pristup, prijenos i razmjena podataka</w:t>
      </w:r>
    </w:p>
    <w:p w14:paraId="17771E7F" w14:textId="77777777" w:rsidR="001F77DD" w:rsidRDefault="00D97F9C">
      <w:pPr>
        <w:pBdr>
          <w:top w:val="none" w:sz="4" w:space="0" w:color="000000"/>
          <w:left w:val="none" w:sz="4" w:space="0" w:color="000000"/>
          <w:bottom w:val="none" w:sz="4" w:space="0" w:color="000000"/>
          <w:right w:val="none" w:sz="4" w:space="0" w:color="000000"/>
        </w:pBd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Pristup, prijenos i razmjena podataka provode se prema članu 9. Zakona o Agenciji, uz primjenu tehničkih i operativnih pravila i drugih relevantnih propisa. Organ koji traži pristup odgovoran je za zakonitost pristupa i korištenja podataka, dok Agencija izvršava svoje zakonske obaveze u pogledu omogućavanja pristupa, dokumentovanja zahtjeva, sigurnosti sistema i postupanja u slučaju očiglednog kršenja zakona.</w:t>
      </w:r>
    </w:p>
    <w:p w14:paraId="5196975A" w14:textId="77777777" w:rsidR="001F77DD" w:rsidRDefault="00D97F9C">
      <w:pPr>
        <w:pBdr>
          <w:top w:val="none" w:sz="4" w:space="0" w:color="000000"/>
          <w:left w:val="none" w:sz="4" w:space="0" w:color="000000"/>
          <w:bottom w:val="none" w:sz="4" w:space="0" w:color="000000"/>
          <w:right w:val="none" w:sz="4" w:space="0" w:color="000000"/>
        </w:pBd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Razvoj eDataXChange platforme, API integracija i drugih interoperabilnih rješenja predstavlja tehničko unapređenje izvršavanja ovih funkcija. Prije operativnog povezivanja potrebno je utvrditi pravni osnov i svrhu pristupa, kategorije podataka, dozvoljene radnje i korisničke uloge te osigurati sljedivost pristupa i odgovarajuće sigurnosne mjere. Tehnička mogućnost povezivanja ili zaključen sporazum ne zamjenjuju zakonski osnov za pristup i korištenje podataka.</w:t>
      </w:r>
    </w:p>
    <w:p w14:paraId="7877AD50" w14:textId="77777777" w:rsidR="001F77DD" w:rsidRDefault="001F77DD">
      <w:pPr>
        <w:spacing w:after="0" w:line="360" w:lineRule="auto"/>
        <w:contextualSpacing/>
        <w:jc w:val="both"/>
        <w:outlineLvl w:val="0"/>
        <w:rPr>
          <w:rFonts w:ascii="Arial" w:eastAsia="Calibri" w:hAnsi="Arial" w:cs="Arial"/>
          <w:sz w:val="20"/>
          <w:szCs w:val="20"/>
          <w:lang w:val="sr-Latn-BA"/>
        </w:rPr>
      </w:pPr>
    </w:p>
    <w:p w14:paraId="063F3B10" w14:textId="77777777" w:rsidR="001F77DD" w:rsidRDefault="001F77DD">
      <w:pPr>
        <w:spacing w:after="0" w:line="360" w:lineRule="auto"/>
        <w:contextualSpacing/>
        <w:jc w:val="both"/>
        <w:outlineLvl w:val="0"/>
        <w:rPr>
          <w:rFonts w:ascii="Arial" w:eastAsia="Calibri" w:hAnsi="Arial" w:cs="Arial"/>
          <w:iCs/>
          <w:sz w:val="20"/>
          <w:szCs w:val="20"/>
          <w:lang w:val="sr-Latn-BA"/>
        </w:rPr>
      </w:pPr>
    </w:p>
    <w:p w14:paraId="42C99759" w14:textId="77777777" w:rsidR="001F77DD" w:rsidRDefault="001F77DD">
      <w:pPr>
        <w:spacing w:after="0" w:line="360" w:lineRule="auto"/>
        <w:ind w:left="720"/>
        <w:contextualSpacing/>
        <w:jc w:val="both"/>
        <w:outlineLvl w:val="0"/>
        <w:rPr>
          <w:rFonts w:ascii="Arial" w:eastAsia="Calibri" w:hAnsi="Arial" w:cs="Arial"/>
          <w:bCs/>
          <w:iCs/>
          <w:sz w:val="20"/>
          <w:szCs w:val="20"/>
          <w:lang w:val="sr-Latn-BA"/>
        </w:rPr>
      </w:pPr>
    </w:p>
    <w:p w14:paraId="4AC0168F" w14:textId="4649CE6F" w:rsidR="001F77DD" w:rsidRDefault="00D97F9C">
      <w:pPr>
        <w:spacing w:after="0" w:line="360" w:lineRule="auto"/>
        <w:contextualSpacing/>
        <w:jc w:val="both"/>
        <w:outlineLvl w:val="0"/>
        <w:rPr>
          <w:rFonts w:ascii="Arial" w:eastAsia="Calibri" w:hAnsi="Arial" w:cs="Arial"/>
          <w:b/>
          <w:bCs/>
          <w:iCs/>
          <w:sz w:val="20"/>
          <w:szCs w:val="20"/>
          <w:lang w:val="sr-Latn-BA"/>
        </w:rPr>
      </w:pPr>
      <w:r>
        <w:rPr>
          <w:rFonts w:ascii="Arial" w:eastAsia="Calibri" w:hAnsi="Arial" w:cs="Arial"/>
          <w:b/>
          <w:bCs/>
          <w:iCs/>
          <w:sz w:val="20"/>
          <w:szCs w:val="20"/>
          <w:lang w:val="sr-Latn-BA"/>
        </w:rPr>
        <w:t>2.5. Sistemi iddeea i digitalni identitet</w:t>
      </w:r>
    </w:p>
    <w:p w14:paraId="0F3B7249"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Za potrebe ove Strategije pojmovi „Sistemi IDDEEA“ i „digitalni identitet“ koriste se u značenju utvrđenom Uputstvom o tehničkim i operativnim pravilima pristupa sistemima Agencije za identifikacione dokumente, evidenciju i razmjenu podataka Bosne i Hercegovine („Službeni glasnik BiH“, broj 31/25), donesenim na osnovu zakonskih ovlaštenja Agencije.</w:t>
      </w:r>
    </w:p>
    <w:p w14:paraId="769C01B4"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U smislu člana 2. tačka h) Uputstva, digitalni identitet predstavlja jedinstvenu elektronsku reprezentaciju korisnika koja omogućava sigurnu autentifikaciju i autorizaciju za pristup Sistemima IDDEEA.</w:t>
      </w:r>
    </w:p>
    <w:p w14:paraId="59FA5684"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Digitalni identitet u ovoj Strategiji stoga predstavlja termin domaćeg normativnog okvira za pristup Sistemima IDDEEA i ne poistovjećuje se automatski sa pojmovima elektronske identifikacije, sredstva elektronske identifikacije ili European Digital Identity Walleta iz prava Evropske unije.</w:t>
      </w:r>
    </w:p>
    <w:p w14:paraId="73D5F72B"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lastRenderedPageBreak/>
        <w:t>Kada se Strategija poziva na evropski okvir elektronske identifikacije, eIDAS ili EUDI Wallet, ti pojmovi koriste se u njihovom odgovarajućem evropskom regulatornom značenju i odvojeno od domaće definicije digitalnog identiteta.</w:t>
      </w:r>
    </w:p>
    <w:p w14:paraId="72781811"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Razvoj digitalnog identiteta IDDEEA-e u periodu 2027–2031. obuhvatat će unapređenje sigurne autentifikacije i autorizacije, upravljanja korisničkim pristupom, mobilnih i web aplikacija i drugih funkcionalnosti Sistema IDDEEA, u granicama važećeg pravnog okvira.</w:t>
      </w:r>
    </w:p>
    <w:p w14:paraId="2D89B1A5" w14:textId="77777777" w:rsidR="001F77DD" w:rsidRDefault="001F77DD">
      <w:pPr>
        <w:spacing w:after="0" w:line="360" w:lineRule="auto"/>
        <w:ind w:left="720"/>
        <w:contextualSpacing/>
        <w:jc w:val="both"/>
        <w:outlineLvl w:val="0"/>
        <w:rPr>
          <w:rFonts w:ascii="Arial" w:eastAsia="Calibri" w:hAnsi="Arial" w:cs="Arial"/>
          <w:bCs/>
          <w:iCs/>
          <w:sz w:val="20"/>
          <w:szCs w:val="20"/>
          <w:lang w:val="sr-Latn-BA"/>
        </w:rPr>
      </w:pPr>
    </w:p>
    <w:p w14:paraId="1670DF36" w14:textId="07FB7F07" w:rsidR="001F77DD" w:rsidRDefault="00D97F9C">
      <w:pPr>
        <w:spacing w:after="0" w:line="360" w:lineRule="auto"/>
        <w:contextualSpacing/>
        <w:jc w:val="both"/>
        <w:outlineLvl w:val="0"/>
        <w:rPr>
          <w:rFonts w:ascii="Arial" w:eastAsia="Calibri" w:hAnsi="Arial" w:cs="Arial"/>
          <w:b/>
          <w:bCs/>
          <w:iCs/>
          <w:sz w:val="20"/>
          <w:szCs w:val="20"/>
          <w:lang w:val="sr-Latn-BA"/>
        </w:rPr>
      </w:pPr>
      <w:r>
        <w:rPr>
          <w:rFonts w:ascii="Arial" w:eastAsia="Calibri" w:hAnsi="Arial" w:cs="Arial"/>
          <w:b/>
          <w:bCs/>
          <w:iCs/>
          <w:sz w:val="20"/>
          <w:szCs w:val="20"/>
          <w:lang w:val="sr-Latn-BA"/>
        </w:rPr>
        <w:t>2.6. Digitalno potpisivanje, elektronski certifikati i funkcija ovjerioca</w:t>
      </w:r>
    </w:p>
    <w:p w14:paraId="5BDA0233"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Članom 8. stav (6) Zakona o IDDEEA-i utvrđena je nadležnost Agencije za digitalno potpisivanje u oblasti identifikacionih dokumenata, odnosno za elektronske certifikate i elektronske potpise vezane za identifikacione dokumente, u skladu sa zakonom kojim se uređuje elektronski potpis.</w:t>
      </w:r>
    </w:p>
    <w:p w14:paraId="55934B40"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Poslovi Agencije kao ovjerioca provode se u skladu sa Zakonom o elektronskom potpisu Bosne i Hercegovine, relevantnim podzakonskim aktima, pravilima rada ovjerioca i drugim primjenjivim propisima.</w:t>
      </w:r>
    </w:p>
    <w:p w14:paraId="0EBAB63D"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Razvoj PKI infrastrukture, kvalifikovanih elektronskih certifikata, sistema udaljenog potpisivanja, upravljanja životnim ciklusom certifikata, registracionih funkcija, sigurnih uređaja i sistema za kreiranje potpisa te drugih tehničkih komponenti certifikacijske infrastrukture predstavlja razvoj postojeće zakonske funkcije Agencije.</w:t>
      </w:r>
    </w:p>
    <w:p w14:paraId="2BEDE96D"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Regulatorne, nadzorne i akreditacijske funkcije ostaju kod organa kojima su povjerene Zakonom o elektronskom potpisu.</w:t>
      </w:r>
    </w:p>
    <w:p w14:paraId="6120B4F7"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 xml:space="preserve">U-1/25 je posebno relevantan za granicu između državnog zakonskog sistema digitalnog potpisivanja/personalizacije i entitetskog propisa; Sud je osporene dijelove člana 141. stav (5) i povezane odredbe proglasio neusklađenim sa članom III/3.b) Ustava BiH. </w:t>
      </w:r>
    </w:p>
    <w:p w14:paraId="3ECB54AD" w14:textId="77777777" w:rsidR="001F77DD" w:rsidRDefault="001F77DD">
      <w:pPr>
        <w:spacing w:after="0" w:line="360" w:lineRule="auto"/>
        <w:ind w:left="720"/>
        <w:contextualSpacing/>
        <w:jc w:val="both"/>
        <w:outlineLvl w:val="0"/>
        <w:rPr>
          <w:rFonts w:ascii="Arial" w:eastAsia="Calibri" w:hAnsi="Arial" w:cs="Arial"/>
          <w:bCs/>
          <w:iCs/>
          <w:sz w:val="20"/>
          <w:szCs w:val="20"/>
          <w:lang w:val="sr-Latn-BA"/>
        </w:rPr>
      </w:pPr>
    </w:p>
    <w:p w14:paraId="197C4EBC" w14:textId="69717356" w:rsidR="001F77DD" w:rsidRDefault="00D97F9C">
      <w:pPr>
        <w:spacing w:after="0" w:line="360" w:lineRule="auto"/>
        <w:contextualSpacing/>
        <w:jc w:val="both"/>
        <w:outlineLvl w:val="0"/>
        <w:rPr>
          <w:rFonts w:ascii="Arial" w:eastAsia="Calibri" w:hAnsi="Arial" w:cs="Arial"/>
          <w:b/>
          <w:bCs/>
          <w:iCs/>
          <w:sz w:val="20"/>
          <w:szCs w:val="20"/>
          <w:lang w:val="sr-Latn-BA"/>
        </w:rPr>
      </w:pPr>
      <w:r>
        <w:rPr>
          <w:rFonts w:ascii="Arial" w:eastAsia="Calibri" w:hAnsi="Arial" w:cs="Arial"/>
          <w:b/>
          <w:bCs/>
          <w:iCs/>
          <w:sz w:val="20"/>
          <w:szCs w:val="20"/>
          <w:lang w:val="sr-Latn-BA"/>
        </w:rPr>
        <w:t>2.7. Telekomunikaciona i informaciona infrastruktura</w:t>
      </w:r>
    </w:p>
    <w:p w14:paraId="07B97729"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Razvoj, održavanje i unapređenje telekomunikacione mreže predstavlja zakonom utvrđenu funkciju Agencije. Strategija stoga obuhvata modernizaciju mrežne infrastrukture, povećanje kapaciteta, prelazak na optičke komunikacione pravce gdje je opravdano, redundanciju, kriptografsku zaštitu, segmentaciju, monitoring, rezervne komunikacione pravce i druge mjere potrebne za sigurnost, raspoloživost i kontinuitet sistema.</w:t>
      </w:r>
    </w:p>
    <w:p w14:paraId="711D1BFC"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Telekomunikaciona infrastruktura razvija se prvenstveno radi izvršavanja poslova iz djelokruga Agencije i sigurnog povezivanja zakonom ovlaštenih korisnika.</w:t>
      </w:r>
    </w:p>
    <w:p w14:paraId="04C78651" w14:textId="77777777" w:rsidR="001F77DD" w:rsidRDefault="001F77DD">
      <w:pPr>
        <w:spacing w:after="0" w:line="360" w:lineRule="auto"/>
        <w:ind w:left="720"/>
        <w:contextualSpacing/>
        <w:jc w:val="both"/>
        <w:outlineLvl w:val="0"/>
        <w:rPr>
          <w:rFonts w:ascii="Arial" w:eastAsia="Calibri" w:hAnsi="Arial" w:cs="Arial"/>
          <w:bCs/>
          <w:iCs/>
          <w:sz w:val="20"/>
          <w:szCs w:val="20"/>
          <w:lang w:val="sr-Latn-BA"/>
        </w:rPr>
      </w:pPr>
    </w:p>
    <w:p w14:paraId="757876F6" w14:textId="0E9978C1" w:rsidR="001F77DD" w:rsidRDefault="00D97F9C">
      <w:pPr>
        <w:spacing w:after="0" w:line="360" w:lineRule="auto"/>
        <w:contextualSpacing/>
        <w:jc w:val="both"/>
        <w:outlineLvl w:val="0"/>
        <w:rPr>
          <w:rFonts w:ascii="Arial" w:eastAsia="Calibri" w:hAnsi="Arial" w:cs="Arial"/>
          <w:b/>
          <w:bCs/>
          <w:iCs/>
          <w:sz w:val="20"/>
          <w:szCs w:val="20"/>
          <w:lang w:val="sr-Latn-BA"/>
        </w:rPr>
      </w:pPr>
      <w:r>
        <w:rPr>
          <w:rFonts w:ascii="Arial" w:eastAsia="Calibri" w:hAnsi="Arial" w:cs="Arial"/>
          <w:b/>
          <w:bCs/>
          <w:iCs/>
          <w:sz w:val="20"/>
          <w:szCs w:val="20"/>
          <w:lang w:val="sr-Latn-BA"/>
        </w:rPr>
        <w:t>2.8. Zaštita ličnih podataka i sigurnost</w:t>
      </w:r>
    </w:p>
    <w:p w14:paraId="17C38196"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Obrada ličnih podataka u Sistemima IDDEEA mora se zasnivati na odgovarajućem pravnom osnovu, jasno određenoj svrsi obrade i primjeni principa proporcionalnosti i minimizacije podataka.</w:t>
      </w:r>
    </w:p>
    <w:p w14:paraId="424F0666"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 xml:space="preserve">Agencija će kroz razvoj Sistema IDDEEA sistematski primjenjivati zaštitu podataka po dizajnu i po zadanim postavkama, upravljanje pristupnim pravima, princip najmanjih privilegija, evidenciju i reviziju pristupa, </w:t>
      </w:r>
      <w:r>
        <w:rPr>
          <w:rFonts w:ascii="Arial" w:eastAsia="Calibri" w:hAnsi="Arial" w:cs="Arial"/>
          <w:bCs/>
          <w:iCs/>
          <w:sz w:val="20"/>
          <w:szCs w:val="20"/>
          <w:lang w:val="sr-Latn-BA"/>
        </w:rPr>
        <w:lastRenderedPageBreak/>
        <w:t>enkripciju, upravljanje rokovima čuvanja, procjenu rizika i, kada je propisano, procjenu uticaja na zaštitu ličnih podataka.</w:t>
      </w:r>
    </w:p>
    <w:p w14:paraId="6CB545A7"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Postojanje tehničke mogućnosti obrade ili povezivanja podataka ne predstavlja samo po sebi pravni osnov za takvu obradu.</w:t>
      </w:r>
    </w:p>
    <w:p w14:paraId="013E0644" w14:textId="77777777" w:rsidR="001F77DD" w:rsidRDefault="001F77DD">
      <w:pPr>
        <w:spacing w:after="0" w:line="360" w:lineRule="auto"/>
        <w:ind w:left="720"/>
        <w:contextualSpacing/>
        <w:jc w:val="both"/>
        <w:outlineLvl w:val="0"/>
        <w:rPr>
          <w:rFonts w:ascii="Arial" w:eastAsia="Calibri" w:hAnsi="Arial" w:cs="Arial"/>
          <w:bCs/>
          <w:iCs/>
          <w:sz w:val="20"/>
          <w:szCs w:val="20"/>
          <w:lang w:val="sr-Latn-BA"/>
        </w:rPr>
      </w:pPr>
    </w:p>
    <w:p w14:paraId="43831613" w14:textId="67D82470" w:rsidR="001F77DD" w:rsidRDefault="00D97F9C">
      <w:pPr>
        <w:spacing w:after="0" w:line="360" w:lineRule="auto"/>
        <w:contextualSpacing/>
        <w:jc w:val="both"/>
        <w:outlineLvl w:val="0"/>
        <w:rPr>
          <w:rFonts w:ascii="Arial" w:eastAsia="Calibri" w:hAnsi="Arial" w:cs="Arial"/>
          <w:b/>
          <w:bCs/>
          <w:iCs/>
          <w:sz w:val="20"/>
          <w:szCs w:val="20"/>
          <w:lang w:val="sr-Latn-BA"/>
        </w:rPr>
      </w:pPr>
      <w:r>
        <w:rPr>
          <w:rFonts w:ascii="Arial" w:eastAsia="Calibri" w:hAnsi="Arial" w:cs="Arial"/>
          <w:b/>
          <w:bCs/>
          <w:iCs/>
          <w:sz w:val="20"/>
          <w:szCs w:val="20"/>
          <w:lang w:val="sr-Latn-BA"/>
        </w:rPr>
        <w:t>2.9. Saradnja sa nadležnim organima</w:t>
      </w:r>
    </w:p>
    <w:p w14:paraId="78C956C4"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Saradnja sa nadležnim organima predstavlja sastavni dio izvršavanja zakonskih funkcija Agencije. U takvoj saradnji mora se jasno razlikovati tehnička uloga IDDEEA-e od materijalne nadležnosti drugog organa.</w:t>
      </w:r>
    </w:p>
    <w:p w14:paraId="5F129D41"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Kada drugi nadležni organ koristi podatke, evidencije, mrežu, digitalni identitet, elektronski potpis, certifikate, API ili drugi Sistem IDDEEA u pružanju vlastite usluge ili vođenju postupka, odgovornost za tu uslugu odnosno postupak ostaje kod zakonom nadležnog organa.</w:t>
      </w:r>
    </w:p>
    <w:p w14:paraId="6827B0C9" w14:textId="77777777" w:rsidR="001F77DD" w:rsidRDefault="001F77DD">
      <w:pPr>
        <w:spacing w:after="0" w:line="360" w:lineRule="auto"/>
        <w:ind w:left="720"/>
        <w:contextualSpacing/>
        <w:jc w:val="both"/>
        <w:outlineLvl w:val="0"/>
        <w:rPr>
          <w:rFonts w:ascii="Arial" w:eastAsia="Calibri" w:hAnsi="Arial" w:cs="Arial"/>
          <w:bCs/>
          <w:iCs/>
          <w:sz w:val="20"/>
          <w:szCs w:val="20"/>
          <w:lang w:val="sr-Latn-BA"/>
        </w:rPr>
      </w:pPr>
    </w:p>
    <w:p w14:paraId="55B5F79E" w14:textId="73E879A6" w:rsidR="001F77DD" w:rsidRDefault="00D97F9C">
      <w:pPr>
        <w:spacing w:after="0" w:line="360" w:lineRule="auto"/>
        <w:contextualSpacing/>
        <w:jc w:val="both"/>
        <w:outlineLvl w:val="0"/>
        <w:rPr>
          <w:rFonts w:ascii="Arial" w:eastAsia="Calibri" w:hAnsi="Arial" w:cs="Arial"/>
          <w:b/>
          <w:bCs/>
          <w:iCs/>
          <w:sz w:val="20"/>
          <w:szCs w:val="20"/>
          <w:lang w:val="sr-Latn-BA"/>
        </w:rPr>
      </w:pPr>
      <w:r>
        <w:rPr>
          <w:rFonts w:ascii="Arial" w:eastAsia="Calibri" w:hAnsi="Arial" w:cs="Arial"/>
          <w:b/>
          <w:bCs/>
          <w:iCs/>
          <w:sz w:val="20"/>
          <w:szCs w:val="20"/>
          <w:lang w:val="sr-Latn-BA"/>
        </w:rPr>
        <w:t>2.10. Međunarodna saradnja</w:t>
      </w:r>
    </w:p>
    <w:p w14:paraId="654B7E9E" w14:textId="77777777" w:rsidR="001F77DD" w:rsidRDefault="00D97F9C">
      <w:pPr>
        <w:spacing w:after="0" w:line="360" w:lineRule="auto"/>
        <w:contextualSpacing/>
        <w:jc w:val="both"/>
        <w:outlineLvl w:val="0"/>
        <w:rPr>
          <w:rFonts w:ascii="Arial" w:eastAsia="Calibri" w:hAnsi="Arial" w:cs="Arial"/>
          <w:sz w:val="20"/>
          <w:szCs w:val="20"/>
          <w:lang w:val="sr-Latn-BA"/>
        </w:rPr>
      </w:pPr>
      <w:r>
        <w:rPr>
          <w:rFonts w:ascii="Arial" w:eastAsia="Calibri" w:hAnsi="Arial" w:cs="Arial"/>
          <w:sz w:val="20"/>
          <w:szCs w:val="20"/>
          <w:lang w:val="sr-Latn-BA"/>
        </w:rPr>
        <w:t>Međunarodna saradnja IDDEEA-e zasniva se na članu 8. stav (7) Zakona o Agenciji i razvija se s međunarodnim institucijama zaduženim za oblast identifikacionih dokumenata. Obuhvata praćenje standarda, razmjenu stručnih iskustava</w:t>
      </w:r>
      <w:r>
        <w:rPr>
          <w:rFonts w:ascii="Arial" w:eastAsia="Calibri" w:hAnsi="Arial" w:cs="Arial"/>
          <w:bCs/>
          <w:iCs/>
          <w:sz w:val="20"/>
          <w:szCs w:val="20"/>
          <w:lang w:val="sr-Latn-BA"/>
        </w:rPr>
        <w:t xml:space="preserve"> i razvija se u oblastima povezanim sa njenim zakonskim funkcijama, naročito identifikacionim dokumentima, međunarodnom interoperabilnošću, sigurnošću dokumenata,  certifikacijskom i identitetskom infrastrukturom te tehničkim standardima.</w:t>
      </w:r>
    </w:p>
    <w:p w14:paraId="67B45FD7"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Učešće u međunarodnim projektima ne predstavlja samostalno proširenje nadležnosti Agencije. Aktivnosti u okviru međunarodnih projekata moraju ostati povezane sa poslovima iz zakonskog djelokruga IDDEEA-e.</w:t>
      </w:r>
    </w:p>
    <w:p w14:paraId="0DCDAA01" w14:textId="77777777" w:rsidR="001F77DD" w:rsidRDefault="001F77DD">
      <w:pPr>
        <w:spacing w:after="0" w:line="360" w:lineRule="auto"/>
        <w:ind w:left="720"/>
        <w:contextualSpacing/>
        <w:jc w:val="both"/>
        <w:outlineLvl w:val="0"/>
        <w:rPr>
          <w:rFonts w:ascii="Arial" w:eastAsia="Calibri" w:hAnsi="Arial" w:cs="Arial"/>
          <w:bCs/>
          <w:iCs/>
          <w:sz w:val="20"/>
          <w:szCs w:val="20"/>
          <w:lang w:val="sr-Latn-BA"/>
        </w:rPr>
      </w:pPr>
    </w:p>
    <w:p w14:paraId="25FF953F" w14:textId="09D70A69" w:rsidR="001F77DD" w:rsidRDefault="00D97F9C">
      <w:pPr>
        <w:spacing w:after="0" w:line="360" w:lineRule="auto"/>
        <w:contextualSpacing/>
        <w:jc w:val="both"/>
        <w:outlineLvl w:val="0"/>
        <w:rPr>
          <w:rFonts w:ascii="Arial" w:eastAsia="Calibri" w:hAnsi="Arial" w:cs="Arial"/>
          <w:b/>
          <w:bCs/>
          <w:iCs/>
          <w:sz w:val="20"/>
          <w:szCs w:val="20"/>
          <w:lang w:val="sr-Latn-BA"/>
        </w:rPr>
      </w:pPr>
      <w:r>
        <w:rPr>
          <w:rFonts w:ascii="Arial" w:eastAsia="Calibri" w:hAnsi="Arial" w:cs="Arial"/>
          <w:b/>
          <w:bCs/>
          <w:iCs/>
          <w:sz w:val="20"/>
          <w:szCs w:val="20"/>
          <w:lang w:val="sr-Latn-BA"/>
        </w:rPr>
        <w:t>2.11. Relevantna sudska praksa</w:t>
      </w:r>
    </w:p>
    <w:p w14:paraId="71C83D4D"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Za tumačenje postojećeg zakonskog okvira značajna je Odluka o dopustivosti i meritumu Ustavnog suda Bosne i Hercegovine broj U-1/25 od 26. marta 2026. godine.</w:t>
      </w:r>
    </w:p>
    <w:p w14:paraId="29E4ACF5"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 xml:space="preserve">Ustavni sud je utvrdio da dio člana 141. stav (5) Zakona o policiji i unutrašnjim poslovima Republike Srpske koji se odnosio na „digitalno potpisivanje i izdavanje kvalificiranih digitalnih certifikata, te vršiti personalizaciju dokumenata“, kao i povezane osporene odredbe, nisu u skladu sa članom III/3.b) Ustava Bosne i Hercegovine i ukinuo ih. </w:t>
      </w:r>
    </w:p>
    <w:p w14:paraId="44CC01C1"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Odluka U-1/25 u ovoj Strategiji koristi se kao relevantno ustavnosudsko tumačenje postojećeg državnog zakonskog okvira i raspodjele nadležnosti, a ne kao izvor novih nadležnosti Agencije.</w:t>
      </w:r>
    </w:p>
    <w:p w14:paraId="616C1F47"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Strategija uzima u obzir i Rješenje Suda Bosne i Hercegovine broj S1 3 U 055054 26 U od 15.07.2026. godine, kojim je do konačne odluke u upravnom sporu odgođeno izvršenje osporenog upravnog akta. Rješenje predstavlja procesnu odluku o odgađanju izvršenja i u ovoj Strategiji se ne predstavlja kao konačna odluka o meritumu spora.</w:t>
      </w:r>
    </w:p>
    <w:p w14:paraId="0BF8E2A7" w14:textId="77777777" w:rsidR="001F77DD" w:rsidRDefault="001F77DD">
      <w:pPr>
        <w:spacing w:after="0" w:line="360" w:lineRule="auto"/>
        <w:ind w:left="720"/>
        <w:contextualSpacing/>
        <w:jc w:val="both"/>
        <w:outlineLvl w:val="0"/>
        <w:rPr>
          <w:rFonts w:ascii="Arial" w:eastAsia="Calibri" w:hAnsi="Arial" w:cs="Arial"/>
          <w:bCs/>
          <w:iCs/>
          <w:sz w:val="20"/>
          <w:szCs w:val="20"/>
          <w:lang w:val="sr-Latn-BA"/>
        </w:rPr>
      </w:pPr>
    </w:p>
    <w:p w14:paraId="661BDDCF" w14:textId="2B5A4BC7" w:rsidR="001F77DD" w:rsidRDefault="00D97F9C">
      <w:pPr>
        <w:spacing w:after="0" w:line="360" w:lineRule="auto"/>
        <w:contextualSpacing/>
        <w:jc w:val="both"/>
        <w:outlineLvl w:val="0"/>
        <w:rPr>
          <w:rFonts w:ascii="Arial" w:eastAsia="Calibri" w:hAnsi="Arial" w:cs="Arial"/>
          <w:b/>
          <w:bCs/>
          <w:iCs/>
          <w:sz w:val="20"/>
          <w:szCs w:val="20"/>
          <w:lang w:val="sr-Latn-BA"/>
        </w:rPr>
      </w:pPr>
      <w:r>
        <w:rPr>
          <w:rFonts w:ascii="Arial" w:eastAsia="Calibri" w:hAnsi="Arial" w:cs="Arial"/>
          <w:b/>
          <w:bCs/>
          <w:iCs/>
          <w:sz w:val="20"/>
          <w:szCs w:val="20"/>
          <w:lang w:val="sr-Latn-BA"/>
        </w:rPr>
        <w:t>2.12. Evropski  i međunarodni regulatorni i tehnički okvir</w:t>
      </w:r>
    </w:p>
    <w:p w14:paraId="1F63CAD3"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lastRenderedPageBreak/>
        <w:t>Približavanje Bosne i Hercegovine Evropskoj uniji i razvoj evropskog regulatornog i tehničkog okvira predstavljaju važan razvojni kontekst za IDDEEA-u.</w:t>
      </w:r>
    </w:p>
    <w:p w14:paraId="5268B27B"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Agencija će pratiti razvoj relevantne pravne stečevine EU, naročito u oblastima elektronske identifikacije, usluga povjerenja, zaštite podataka, cyber sigurnosti, interoperabilnosti i identifikacionih dokumenata, te će u okviru svojih nadležnosti razvijati tehničku i organizacionu spremnost za buduće usklađivanje i interoperabilnost.</w:t>
      </w:r>
    </w:p>
    <w:p w14:paraId="1593EA82"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Evropski propisi koji nisu neposredno primjenjivi u Bosni i Hercegovini ne koriste se kao samostalan pravni osnov za postupanje Agencije. Njihova primjena kroz ovu Strategiju predstavlja referentni pravac razvoja u granicama domaćeg pravnog okvira.</w:t>
      </w:r>
    </w:p>
    <w:p w14:paraId="7996A3C8" w14:textId="77777777" w:rsidR="001F77DD" w:rsidRDefault="001F77DD">
      <w:pPr>
        <w:spacing w:after="0" w:line="360" w:lineRule="auto"/>
        <w:ind w:left="720"/>
        <w:contextualSpacing/>
        <w:jc w:val="both"/>
        <w:outlineLvl w:val="0"/>
        <w:rPr>
          <w:rFonts w:ascii="Arial" w:eastAsia="Calibri" w:hAnsi="Arial" w:cs="Arial"/>
          <w:bCs/>
          <w:iCs/>
          <w:sz w:val="20"/>
          <w:szCs w:val="20"/>
          <w:lang w:val="sr-Latn-BA"/>
        </w:rPr>
      </w:pPr>
    </w:p>
    <w:p w14:paraId="23162286" w14:textId="13D56109" w:rsidR="001F77DD" w:rsidRDefault="00D97F9C">
      <w:pPr>
        <w:spacing w:after="0" w:line="360" w:lineRule="auto"/>
        <w:contextualSpacing/>
        <w:jc w:val="both"/>
        <w:outlineLvl w:val="0"/>
        <w:rPr>
          <w:rFonts w:ascii="Arial" w:eastAsia="Calibri" w:hAnsi="Arial" w:cs="Arial"/>
          <w:b/>
          <w:bCs/>
          <w:iCs/>
          <w:sz w:val="20"/>
          <w:szCs w:val="20"/>
          <w:lang w:val="sr-Latn-BA"/>
        </w:rPr>
      </w:pPr>
      <w:r>
        <w:rPr>
          <w:rFonts w:ascii="Arial" w:eastAsia="Calibri" w:hAnsi="Arial" w:cs="Arial"/>
          <w:b/>
          <w:bCs/>
          <w:iCs/>
          <w:sz w:val="20"/>
          <w:szCs w:val="20"/>
          <w:lang w:val="sr-Latn-BA"/>
        </w:rPr>
        <w:t>2.13. Granice institucionalne nadležnosti</w:t>
      </w:r>
    </w:p>
    <w:p w14:paraId="17C6CBF2"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Strategija polazi od načela da razvoj tehničke infrastrukture IDDEEA-e ne mijenja zakonom utvrđenu raspodjelu materijalnih nadležnosti između institucija.</w:t>
      </w:r>
    </w:p>
    <w:p w14:paraId="408AB0B2"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IDDEEA ne preuzima nadležnost organa koji vodi upravni, poreski, pravosudni, izborni ili drugi postupak samo zato što taj organ koristi Sistem IDDEEA, podatke, elektronski certifikat, digitalni identitet, elektronski potpis ili tehničku infrastrukturu Agencije.</w:t>
      </w:r>
    </w:p>
    <w:p w14:paraId="23A975D5" w14:textId="77777777"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IDDEEA u takvim slučajevima izvršava samo identitetske, podatkovne, certifikacijske, komunikacijske, softverske, infrastrukturne ili druge tehničke funkcije za koje postoji odgovarajući pravni osnov.</w:t>
      </w:r>
    </w:p>
    <w:p w14:paraId="06F4E4BE" w14:textId="371A25B3" w:rsidR="001F77DD" w:rsidRDefault="00D97F9C">
      <w:pPr>
        <w:spacing w:after="0" w:line="360" w:lineRule="auto"/>
        <w:contextualSpacing/>
        <w:jc w:val="both"/>
        <w:outlineLvl w:val="0"/>
        <w:rPr>
          <w:rFonts w:ascii="Arial" w:eastAsia="Calibri" w:hAnsi="Arial" w:cs="Arial"/>
          <w:bCs/>
          <w:iCs/>
          <w:sz w:val="20"/>
          <w:szCs w:val="20"/>
          <w:lang w:val="sr-Latn-BA"/>
        </w:rPr>
      </w:pPr>
      <w:r>
        <w:rPr>
          <w:rFonts w:ascii="Arial" w:eastAsia="Calibri" w:hAnsi="Arial" w:cs="Arial"/>
          <w:bCs/>
          <w:iCs/>
          <w:sz w:val="20"/>
          <w:szCs w:val="20"/>
          <w:lang w:val="sr-Latn-BA"/>
        </w:rPr>
        <w:t>Strategija IDDEEA-i ne uspostavlja opću regulatornu nadležnost nad elektronskom upravom, digitalnom transformacijom Bosne i Hercegovine, cyber sigurnošću Bosne i Hercegovine, zaštitom ličnih podataka niti drugim oblastima povjerenim drugim nadležnim organima.</w:t>
      </w:r>
    </w:p>
    <w:p w14:paraId="12803F70" w14:textId="75E21DE0" w:rsidR="001F77DD" w:rsidRDefault="001F77DD">
      <w:pPr>
        <w:spacing w:after="0" w:line="360" w:lineRule="auto"/>
        <w:ind w:left="720"/>
        <w:contextualSpacing/>
        <w:jc w:val="both"/>
        <w:outlineLvl w:val="0"/>
        <w:rPr>
          <w:rFonts w:ascii="Arial" w:eastAsia="Calibri" w:hAnsi="Arial" w:cs="Arial"/>
          <w:bCs/>
          <w:iCs/>
          <w:sz w:val="20"/>
          <w:szCs w:val="20"/>
          <w:lang w:val="sr-Latn-BA"/>
        </w:rPr>
      </w:pPr>
    </w:p>
    <w:p w14:paraId="7EA11B40" w14:textId="4886D0C1" w:rsidR="001F77DD" w:rsidRDefault="001F77DD">
      <w:pPr>
        <w:spacing w:after="0" w:line="360" w:lineRule="auto"/>
        <w:ind w:left="720"/>
        <w:contextualSpacing/>
        <w:jc w:val="both"/>
        <w:outlineLvl w:val="0"/>
        <w:rPr>
          <w:rFonts w:ascii="Arial" w:eastAsia="Calibri" w:hAnsi="Arial" w:cs="Arial"/>
          <w:bCs/>
          <w:iCs/>
          <w:sz w:val="20"/>
          <w:szCs w:val="20"/>
          <w:lang w:val="sr-Latn-BA"/>
        </w:rPr>
      </w:pPr>
    </w:p>
    <w:p w14:paraId="77034DB5" w14:textId="77777777" w:rsidR="001F77DD" w:rsidRDefault="001F77DD">
      <w:pPr>
        <w:spacing w:after="0" w:line="360" w:lineRule="auto"/>
        <w:ind w:left="720"/>
        <w:contextualSpacing/>
        <w:jc w:val="both"/>
        <w:outlineLvl w:val="0"/>
        <w:rPr>
          <w:rFonts w:ascii="Arial" w:eastAsia="Calibri" w:hAnsi="Arial" w:cs="Arial"/>
          <w:b/>
          <w:color w:val="C00000"/>
          <w:sz w:val="20"/>
          <w:szCs w:val="20"/>
          <w:lang w:val="sr-Latn-BA"/>
        </w:rPr>
      </w:pPr>
    </w:p>
    <w:p w14:paraId="6DE6D47E" w14:textId="1F6C5F05" w:rsidR="001F77DD" w:rsidRDefault="00D97F9C">
      <w:pPr>
        <w:pStyle w:val="ListParagraph"/>
        <w:numPr>
          <w:ilvl w:val="0"/>
          <w:numId w:val="20"/>
        </w:numPr>
        <w:spacing w:after="0" w:line="360" w:lineRule="auto"/>
        <w:jc w:val="both"/>
        <w:outlineLvl w:val="0"/>
        <w:rPr>
          <w:rFonts w:ascii="Arial" w:hAnsi="Arial" w:cs="Arial"/>
          <w:b/>
          <w:sz w:val="20"/>
          <w:szCs w:val="20"/>
          <w:lang w:val="sr-Latn-BA"/>
        </w:rPr>
      </w:pPr>
      <w:bookmarkStart w:id="4" w:name="_Toc213758699"/>
      <w:r>
        <w:rPr>
          <w:rFonts w:ascii="Arial" w:hAnsi="Arial" w:cs="Arial"/>
          <w:b/>
          <w:sz w:val="20"/>
          <w:szCs w:val="20"/>
          <w:lang w:val="sr-Latn-BA"/>
        </w:rPr>
        <w:t xml:space="preserve">Analiza stanja </w:t>
      </w:r>
      <w:bookmarkEnd w:id="4"/>
      <w:r>
        <w:rPr>
          <w:rFonts w:ascii="Arial" w:hAnsi="Arial" w:cs="Arial"/>
          <w:b/>
          <w:sz w:val="20"/>
          <w:szCs w:val="20"/>
          <w:lang w:val="sr-Latn-BA"/>
        </w:rPr>
        <w:t>i razvojne potrebe</w:t>
      </w:r>
    </w:p>
    <w:p w14:paraId="3BF689ED" w14:textId="5518CD25" w:rsidR="001F77DD" w:rsidRDefault="00D97F9C">
      <w:pPr>
        <w:pStyle w:val="ListParagraph"/>
        <w:numPr>
          <w:ilvl w:val="1"/>
          <w:numId w:val="20"/>
        </w:numPr>
        <w:spacing w:after="0" w:line="360" w:lineRule="auto"/>
        <w:jc w:val="both"/>
        <w:rPr>
          <w:rFonts w:ascii="Arial" w:hAnsi="Arial" w:cs="Arial"/>
          <w:b/>
          <w:sz w:val="20"/>
          <w:szCs w:val="20"/>
          <w:lang w:val="sr-Latn-BA"/>
        </w:rPr>
      </w:pPr>
      <w:r>
        <w:rPr>
          <w:rFonts w:ascii="Arial" w:hAnsi="Arial" w:cs="Arial"/>
          <w:b/>
          <w:sz w:val="20"/>
          <w:szCs w:val="20"/>
          <w:lang w:val="sr-Latn-BA"/>
        </w:rPr>
        <w:t xml:space="preserve">Organizacioni, kadrovski i prostorni kapaciteti </w:t>
      </w:r>
    </w:p>
    <w:p w14:paraId="110A63B6" w14:textId="630C70EA"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Struktura Agencije u pogledu radnih mjesta, organizacije i rasporeda, kao i opisa poslova, uređena je Pravilnikom o unutrašnjoj organizaciji Agencije za identifikacione dokumente, evidenciju i razmjenu podataka Bosne i Hercegovine broj:</w:t>
      </w:r>
      <w:r>
        <w:rPr>
          <w:rFonts w:ascii="Arial" w:eastAsia="Calibri" w:hAnsi="Arial" w:cs="Arial"/>
          <w:bCs/>
          <w:sz w:val="20"/>
          <w:szCs w:val="20"/>
          <w:lang w:val="sr-Latn-BA"/>
        </w:rPr>
        <w:t xml:space="preserve"> 15/01-02-2-1541/09 od 23.04.2009. godine i Pravilnikom o izmjenama i dopunama Pravilnika o unutrašnjoj organizaciji Agencije za identifikacione dokumente, evidenciju i razmjenu podataka Bosne i Hercegovine broj:</w:t>
      </w:r>
      <w:r>
        <w:rPr>
          <w:rFonts w:ascii="Arial" w:eastAsia="Calibri" w:hAnsi="Arial" w:cs="Arial"/>
          <w:sz w:val="20"/>
          <w:szCs w:val="20"/>
          <w:lang w:val="sr-Latn-BA"/>
        </w:rPr>
        <w:t xml:space="preserve"> 15-03/02-2-245/2017 od  02.10.2018. godine (ovim izmjenama je formirana Jedinica interne revizije). Navedenim aktom je u Agenciji sistematizovano 239 radnih mjesta, od čega 112 radnih mjesta državnih službenika, 120 radnih mjesta zaposlenika i 7 radnih mjesta imenovanih lica, od čega su 2 imenovana lica (direktor i zamjenik direktora) koji se biraju u skladu sa  odredbama  Zakona o ministarskim imenovanjima, imenovanjima Vijeća ministara i drugim imenovanjima Bosne i Hercegovine („Službeni glasnik BiH“ broj 37/03) i 5 imenovanih lica u svojstvu savjetnika direktora Agencije koja se imenuju u skladu sa odredbama Zakona o državnoj službi u </w:t>
      </w:r>
      <w:r>
        <w:rPr>
          <w:rFonts w:ascii="Arial" w:eastAsia="Calibri" w:hAnsi="Arial" w:cs="Arial"/>
          <w:sz w:val="20"/>
          <w:szCs w:val="20"/>
          <w:lang w:val="sr-Latn-BA"/>
        </w:rPr>
        <w:lastRenderedPageBreak/>
        <w:t>institucijama Bosne i Hercegovine („Službeni glasnik BiH“ br. 19/02, 35/03, 4/04, 17/04, 26/04, 37/04, 48/05, 2/06, 32/07, 43/09, 8/10, 40/12 i 93/17).</w:t>
      </w:r>
    </w:p>
    <w:p w14:paraId="6F549D18" w14:textId="6CD5D333" w:rsidR="001F77DD" w:rsidRDefault="001F77DD">
      <w:pPr>
        <w:spacing w:after="0" w:line="360" w:lineRule="auto"/>
        <w:jc w:val="both"/>
        <w:rPr>
          <w:rFonts w:ascii="Arial" w:eastAsia="Calibri" w:hAnsi="Arial" w:cs="Arial"/>
          <w:sz w:val="20"/>
          <w:szCs w:val="20"/>
          <w:lang w:val="sr-Latn-BA"/>
        </w:rPr>
      </w:pPr>
    </w:p>
    <w:p w14:paraId="62143660" w14:textId="70DB52DE" w:rsidR="001F77DD" w:rsidRDefault="001F77DD">
      <w:pPr>
        <w:spacing w:after="0" w:line="360" w:lineRule="auto"/>
        <w:jc w:val="both"/>
        <w:rPr>
          <w:rFonts w:ascii="Arial" w:eastAsia="Calibri" w:hAnsi="Arial" w:cs="Arial"/>
          <w:sz w:val="20"/>
          <w:szCs w:val="20"/>
          <w:lang w:val="sr-Latn-BA"/>
        </w:rPr>
      </w:pPr>
    </w:p>
    <w:p w14:paraId="2906FE25" w14:textId="7BC8E71A" w:rsidR="001F77DD" w:rsidRDefault="001F77DD">
      <w:pPr>
        <w:spacing w:after="0" w:line="360" w:lineRule="auto"/>
        <w:jc w:val="both"/>
        <w:rPr>
          <w:rFonts w:ascii="Arial" w:eastAsia="Calibri" w:hAnsi="Arial" w:cs="Arial"/>
          <w:sz w:val="20"/>
          <w:szCs w:val="20"/>
          <w:lang w:val="sr-Latn-BA"/>
        </w:rPr>
      </w:pPr>
    </w:p>
    <w:p w14:paraId="6556C7E1" w14:textId="146CAB6C" w:rsidR="001F77DD" w:rsidRDefault="001F77DD">
      <w:pPr>
        <w:spacing w:after="0" w:line="360" w:lineRule="auto"/>
        <w:jc w:val="both"/>
        <w:rPr>
          <w:rFonts w:ascii="Arial" w:eastAsia="Calibri" w:hAnsi="Arial" w:cs="Arial"/>
          <w:sz w:val="20"/>
          <w:szCs w:val="20"/>
          <w:lang w:val="sr-Latn-BA"/>
        </w:rPr>
      </w:pPr>
    </w:p>
    <w:p w14:paraId="27F8FE91" w14:textId="60D4B2A7" w:rsidR="001F77DD" w:rsidRDefault="001F77DD">
      <w:pPr>
        <w:spacing w:after="0" w:line="360" w:lineRule="auto"/>
        <w:jc w:val="both"/>
        <w:rPr>
          <w:rFonts w:ascii="Arial" w:eastAsia="Calibri" w:hAnsi="Arial" w:cs="Arial"/>
          <w:sz w:val="20"/>
          <w:szCs w:val="20"/>
          <w:lang w:val="sr-Latn-BA"/>
        </w:rPr>
      </w:pPr>
    </w:p>
    <w:p w14:paraId="6633854C"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Tabela: Pregled broja zaposlenih u Agenciji</w:t>
      </w:r>
    </w:p>
    <w:tbl>
      <w:tblPr>
        <w:tblW w:w="1007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54"/>
        <w:gridCol w:w="2303"/>
        <w:gridCol w:w="4018"/>
      </w:tblGrid>
      <w:tr w:rsidR="001F77DD" w14:paraId="3DBFE619" w14:textId="77777777">
        <w:trPr>
          <w:trHeight w:val="463"/>
          <w:tblHeader/>
          <w:tblCellSpacing w:w="15" w:type="dxa"/>
        </w:trPr>
        <w:tc>
          <w:tcPr>
            <w:tcW w:w="3709" w:type="dxa"/>
            <w:shd w:val="clear" w:color="auto" w:fill="BFBFBF" w:themeFill="background1" w:themeFillShade="BF"/>
            <w:vAlign w:val="center"/>
          </w:tcPr>
          <w:p w14:paraId="618DA3A7"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Kategorija</w:t>
            </w:r>
          </w:p>
        </w:tc>
        <w:tc>
          <w:tcPr>
            <w:tcW w:w="2273" w:type="dxa"/>
            <w:shd w:val="clear" w:color="auto" w:fill="BFBFBF" w:themeFill="background1" w:themeFillShade="BF"/>
            <w:vAlign w:val="center"/>
          </w:tcPr>
          <w:p w14:paraId="11CC1EDA"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Potkategorija</w:t>
            </w:r>
          </w:p>
        </w:tc>
        <w:tc>
          <w:tcPr>
            <w:tcW w:w="3973" w:type="dxa"/>
            <w:shd w:val="clear" w:color="auto" w:fill="BFBFBF" w:themeFill="background1" w:themeFillShade="BF"/>
            <w:vAlign w:val="center"/>
          </w:tcPr>
          <w:p w14:paraId="5EC85B39"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Broj/Procenat</w:t>
            </w:r>
          </w:p>
        </w:tc>
      </w:tr>
      <w:tr w:rsidR="001F77DD" w14:paraId="05EB2474" w14:textId="77777777">
        <w:trPr>
          <w:trHeight w:val="463"/>
          <w:tblCellSpacing w:w="15" w:type="dxa"/>
        </w:trPr>
        <w:tc>
          <w:tcPr>
            <w:tcW w:w="3709" w:type="dxa"/>
            <w:vAlign w:val="center"/>
          </w:tcPr>
          <w:p w14:paraId="5CE3F502"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Trenutan broj zaposlenih</w:t>
            </w:r>
          </w:p>
        </w:tc>
        <w:tc>
          <w:tcPr>
            <w:tcW w:w="2273" w:type="dxa"/>
            <w:vAlign w:val="center"/>
          </w:tcPr>
          <w:p w14:paraId="303B3FFE" w14:textId="77777777" w:rsidR="001F77DD" w:rsidRDefault="001F77DD">
            <w:pPr>
              <w:jc w:val="both"/>
              <w:rPr>
                <w:rFonts w:ascii="Arial" w:eastAsia="Calibri" w:hAnsi="Arial" w:cs="Arial"/>
                <w:sz w:val="20"/>
                <w:szCs w:val="20"/>
                <w:lang w:val="sr-Latn-BA"/>
              </w:rPr>
            </w:pPr>
          </w:p>
        </w:tc>
        <w:tc>
          <w:tcPr>
            <w:tcW w:w="3973" w:type="dxa"/>
            <w:vAlign w:val="center"/>
          </w:tcPr>
          <w:p w14:paraId="6C12CD2F"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166</w:t>
            </w:r>
          </w:p>
        </w:tc>
      </w:tr>
      <w:tr w:rsidR="001F77DD" w14:paraId="28E221AD" w14:textId="77777777">
        <w:trPr>
          <w:trHeight w:val="463"/>
          <w:tblCellSpacing w:w="15" w:type="dxa"/>
        </w:trPr>
        <w:tc>
          <w:tcPr>
            <w:tcW w:w="3709" w:type="dxa"/>
            <w:vAlign w:val="center"/>
          </w:tcPr>
          <w:p w14:paraId="19EF6B9D"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Ukupan broj zaposlenih po sistematizaciji</w:t>
            </w:r>
          </w:p>
        </w:tc>
        <w:tc>
          <w:tcPr>
            <w:tcW w:w="2273" w:type="dxa"/>
            <w:vAlign w:val="center"/>
          </w:tcPr>
          <w:p w14:paraId="1100153E" w14:textId="77777777" w:rsidR="001F77DD" w:rsidRDefault="001F77DD">
            <w:pPr>
              <w:jc w:val="both"/>
              <w:rPr>
                <w:rFonts w:ascii="Arial" w:eastAsia="Calibri" w:hAnsi="Arial" w:cs="Arial"/>
                <w:sz w:val="20"/>
                <w:szCs w:val="20"/>
                <w:lang w:val="sr-Latn-BA"/>
              </w:rPr>
            </w:pPr>
          </w:p>
        </w:tc>
        <w:tc>
          <w:tcPr>
            <w:tcW w:w="3973" w:type="dxa"/>
            <w:vAlign w:val="center"/>
          </w:tcPr>
          <w:p w14:paraId="4B3BAFA2"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239</w:t>
            </w:r>
          </w:p>
        </w:tc>
      </w:tr>
      <w:tr w:rsidR="001F77DD" w14:paraId="0632B1C8" w14:textId="77777777">
        <w:trPr>
          <w:trHeight w:val="463"/>
          <w:tblCellSpacing w:w="15" w:type="dxa"/>
        </w:trPr>
        <w:tc>
          <w:tcPr>
            <w:tcW w:w="3709" w:type="dxa"/>
            <w:vAlign w:val="center"/>
          </w:tcPr>
          <w:p w14:paraId="2E17379A"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Nacionalna struktura</w:t>
            </w:r>
          </w:p>
        </w:tc>
        <w:tc>
          <w:tcPr>
            <w:tcW w:w="2273" w:type="dxa"/>
            <w:vAlign w:val="center"/>
          </w:tcPr>
          <w:p w14:paraId="4BBCE39D"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Bošnjaci</w:t>
            </w:r>
          </w:p>
        </w:tc>
        <w:tc>
          <w:tcPr>
            <w:tcW w:w="3973" w:type="dxa"/>
            <w:vAlign w:val="center"/>
          </w:tcPr>
          <w:p w14:paraId="2874E19E"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61 (cca 37%)</w:t>
            </w:r>
          </w:p>
        </w:tc>
      </w:tr>
      <w:tr w:rsidR="001F77DD" w14:paraId="61DB0784" w14:textId="77777777">
        <w:trPr>
          <w:trHeight w:val="463"/>
          <w:tblCellSpacing w:w="15" w:type="dxa"/>
        </w:trPr>
        <w:tc>
          <w:tcPr>
            <w:tcW w:w="3709" w:type="dxa"/>
            <w:vAlign w:val="center"/>
          </w:tcPr>
          <w:p w14:paraId="4CD43189" w14:textId="77777777" w:rsidR="001F77DD" w:rsidRDefault="001F77DD">
            <w:pPr>
              <w:jc w:val="both"/>
              <w:rPr>
                <w:rFonts w:ascii="Arial" w:eastAsia="Calibri" w:hAnsi="Arial" w:cs="Arial"/>
                <w:sz w:val="20"/>
                <w:szCs w:val="20"/>
                <w:lang w:val="sr-Latn-BA"/>
              </w:rPr>
            </w:pPr>
          </w:p>
        </w:tc>
        <w:tc>
          <w:tcPr>
            <w:tcW w:w="2273" w:type="dxa"/>
            <w:vAlign w:val="center"/>
          </w:tcPr>
          <w:p w14:paraId="037D2D57"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Srbi</w:t>
            </w:r>
          </w:p>
        </w:tc>
        <w:tc>
          <w:tcPr>
            <w:tcW w:w="3973" w:type="dxa"/>
            <w:vAlign w:val="center"/>
          </w:tcPr>
          <w:p w14:paraId="74410A8A"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76 (cca 45%)</w:t>
            </w:r>
          </w:p>
        </w:tc>
      </w:tr>
      <w:tr w:rsidR="001F77DD" w14:paraId="2ABC4632" w14:textId="77777777">
        <w:trPr>
          <w:trHeight w:val="463"/>
          <w:tblCellSpacing w:w="15" w:type="dxa"/>
        </w:trPr>
        <w:tc>
          <w:tcPr>
            <w:tcW w:w="3709" w:type="dxa"/>
            <w:vAlign w:val="center"/>
          </w:tcPr>
          <w:p w14:paraId="368BB133" w14:textId="77777777" w:rsidR="001F77DD" w:rsidRDefault="001F77DD">
            <w:pPr>
              <w:jc w:val="both"/>
              <w:rPr>
                <w:rFonts w:ascii="Arial" w:eastAsia="Calibri" w:hAnsi="Arial" w:cs="Arial"/>
                <w:sz w:val="20"/>
                <w:szCs w:val="20"/>
                <w:lang w:val="sr-Latn-BA"/>
              </w:rPr>
            </w:pPr>
          </w:p>
        </w:tc>
        <w:tc>
          <w:tcPr>
            <w:tcW w:w="2273" w:type="dxa"/>
            <w:vAlign w:val="center"/>
          </w:tcPr>
          <w:p w14:paraId="2819D2DC"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Hrvati</w:t>
            </w:r>
          </w:p>
        </w:tc>
        <w:tc>
          <w:tcPr>
            <w:tcW w:w="3973" w:type="dxa"/>
            <w:vAlign w:val="center"/>
          </w:tcPr>
          <w:p w14:paraId="01BB19E4"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17 (cca 10%)</w:t>
            </w:r>
          </w:p>
        </w:tc>
      </w:tr>
      <w:tr w:rsidR="001F77DD" w14:paraId="13DDAD94" w14:textId="77777777">
        <w:trPr>
          <w:trHeight w:val="463"/>
          <w:tblCellSpacing w:w="15" w:type="dxa"/>
        </w:trPr>
        <w:tc>
          <w:tcPr>
            <w:tcW w:w="3709" w:type="dxa"/>
            <w:vAlign w:val="center"/>
          </w:tcPr>
          <w:p w14:paraId="15D8F8B8" w14:textId="77777777" w:rsidR="001F77DD" w:rsidRDefault="001F77DD">
            <w:pPr>
              <w:jc w:val="both"/>
              <w:rPr>
                <w:rFonts w:ascii="Arial" w:eastAsia="Calibri" w:hAnsi="Arial" w:cs="Arial"/>
                <w:sz w:val="20"/>
                <w:szCs w:val="20"/>
                <w:lang w:val="sr-Latn-BA"/>
              </w:rPr>
            </w:pPr>
          </w:p>
        </w:tc>
        <w:tc>
          <w:tcPr>
            <w:tcW w:w="2273" w:type="dxa"/>
            <w:vAlign w:val="center"/>
          </w:tcPr>
          <w:p w14:paraId="3FCA6057"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Ostali</w:t>
            </w:r>
          </w:p>
        </w:tc>
        <w:tc>
          <w:tcPr>
            <w:tcW w:w="3973" w:type="dxa"/>
            <w:vAlign w:val="center"/>
          </w:tcPr>
          <w:p w14:paraId="51DEAFFB"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7 (cca 4%)</w:t>
            </w:r>
          </w:p>
        </w:tc>
      </w:tr>
      <w:tr w:rsidR="001F77DD" w14:paraId="3A58D032" w14:textId="77777777">
        <w:trPr>
          <w:trHeight w:val="463"/>
          <w:tblCellSpacing w:w="15" w:type="dxa"/>
        </w:trPr>
        <w:tc>
          <w:tcPr>
            <w:tcW w:w="3709" w:type="dxa"/>
            <w:vAlign w:val="center"/>
          </w:tcPr>
          <w:p w14:paraId="3C228251" w14:textId="77777777" w:rsidR="001F77DD" w:rsidRDefault="001F77DD">
            <w:pPr>
              <w:jc w:val="both"/>
              <w:rPr>
                <w:rFonts w:ascii="Arial" w:eastAsia="Calibri" w:hAnsi="Arial" w:cs="Arial"/>
                <w:sz w:val="20"/>
                <w:szCs w:val="20"/>
                <w:lang w:val="sr-Latn-BA"/>
              </w:rPr>
            </w:pPr>
          </w:p>
        </w:tc>
        <w:tc>
          <w:tcPr>
            <w:tcW w:w="2273" w:type="dxa"/>
            <w:vAlign w:val="center"/>
          </w:tcPr>
          <w:p w14:paraId="12EE21B0"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Ne izjašnjavaju se</w:t>
            </w:r>
          </w:p>
        </w:tc>
        <w:tc>
          <w:tcPr>
            <w:tcW w:w="3973" w:type="dxa"/>
            <w:vAlign w:val="center"/>
          </w:tcPr>
          <w:p w14:paraId="548F229F"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5 (cca 3%)</w:t>
            </w:r>
          </w:p>
        </w:tc>
      </w:tr>
      <w:tr w:rsidR="001F77DD" w14:paraId="7C37E84D" w14:textId="77777777">
        <w:trPr>
          <w:trHeight w:val="449"/>
          <w:tblCellSpacing w:w="15" w:type="dxa"/>
        </w:trPr>
        <w:tc>
          <w:tcPr>
            <w:tcW w:w="3709" w:type="dxa"/>
            <w:vAlign w:val="center"/>
          </w:tcPr>
          <w:p w14:paraId="57333588"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Spolna struktura</w:t>
            </w:r>
          </w:p>
        </w:tc>
        <w:tc>
          <w:tcPr>
            <w:tcW w:w="2273" w:type="dxa"/>
            <w:vAlign w:val="center"/>
          </w:tcPr>
          <w:p w14:paraId="62997EF1"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Muškarci</w:t>
            </w:r>
          </w:p>
        </w:tc>
        <w:tc>
          <w:tcPr>
            <w:tcW w:w="3973" w:type="dxa"/>
          </w:tcPr>
          <w:p w14:paraId="35A7C9E7"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95 (cca 58%)</w:t>
            </w:r>
          </w:p>
        </w:tc>
      </w:tr>
      <w:tr w:rsidR="001F77DD" w14:paraId="07D7BF86" w14:textId="77777777">
        <w:trPr>
          <w:trHeight w:val="463"/>
          <w:tblCellSpacing w:w="15" w:type="dxa"/>
        </w:trPr>
        <w:tc>
          <w:tcPr>
            <w:tcW w:w="3709" w:type="dxa"/>
            <w:vAlign w:val="center"/>
          </w:tcPr>
          <w:p w14:paraId="7EE62820" w14:textId="77777777" w:rsidR="001F77DD" w:rsidRDefault="001F77DD">
            <w:pPr>
              <w:jc w:val="both"/>
              <w:rPr>
                <w:rFonts w:ascii="Arial" w:eastAsia="Calibri" w:hAnsi="Arial" w:cs="Arial"/>
                <w:sz w:val="20"/>
                <w:szCs w:val="20"/>
                <w:lang w:val="sr-Latn-BA"/>
              </w:rPr>
            </w:pPr>
          </w:p>
        </w:tc>
        <w:tc>
          <w:tcPr>
            <w:tcW w:w="2273" w:type="dxa"/>
            <w:vAlign w:val="center"/>
          </w:tcPr>
          <w:p w14:paraId="5E9E606A"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Žene</w:t>
            </w:r>
          </w:p>
        </w:tc>
        <w:tc>
          <w:tcPr>
            <w:tcW w:w="3973" w:type="dxa"/>
          </w:tcPr>
          <w:p w14:paraId="7CE5B392"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71 (cca 42%)</w:t>
            </w:r>
          </w:p>
        </w:tc>
      </w:tr>
      <w:tr w:rsidR="001F77DD" w14:paraId="7ADB1A5E" w14:textId="77777777">
        <w:trPr>
          <w:trHeight w:val="463"/>
          <w:tblCellSpacing w:w="15" w:type="dxa"/>
        </w:trPr>
        <w:tc>
          <w:tcPr>
            <w:tcW w:w="3709" w:type="dxa"/>
            <w:vAlign w:val="center"/>
          </w:tcPr>
          <w:p w14:paraId="57353DDB"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Starosna struktura</w:t>
            </w:r>
          </w:p>
        </w:tc>
        <w:tc>
          <w:tcPr>
            <w:tcW w:w="2273" w:type="dxa"/>
            <w:vAlign w:val="center"/>
          </w:tcPr>
          <w:p w14:paraId="3092F033"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Do 30 godina</w:t>
            </w:r>
          </w:p>
        </w:tc>
        <w:tc>
          <w:tcPr>
            <w:tcW w:w="3973" w:type="dxa"/>
            <w:vAlign w:val="center"/>
          </w:tcPr>
          <w:p w14:paraId="10158EC0"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12</w:t>
            </w:r>
          </w:p>
        </w:tc>
      </w:tr>
      <w:tr w:rsidR="001F77DD" w14:paraId="428F8C2C" w14:textId="77777777">
        <w:trPr>
          <w:trHeight w:val="463"/>
          <w:tblCellSpacing w:w="15" w:type="dxa"/>
        </w:trPr>
        <w:tc>
          <w:tcPr>
            <w:tcW w:w="3709" w:type="dxa"/>
            <w:vAlign w:val="center"/>
          </w:tcPr>
          <w:p w14:paraId="1EA54CD2" w14:textId="77777777" w:rsidR="001F77DD" w:rsidRDefault="001F77DD">
            <w:pPr>
              <w:jc w:val="both"/>
              <w:rPr>
                <w:rFonts w:ascii="Arial" w:eastAsia="Calibri" w:hAnsi="Arial" w:cs="Arial"/>
                <w:sz w:val="20"/>
                <w:szCs w:val="20"/>
                <w:lang w:val="sr-Latn-BA"/>
              </w:rPr>
            </w:pPr>
          </w:p>
        </w:tc>
        <w:tc>
          <w:tcPr>
            <w:tcW w:w="2273" w:type="dxa"/>
            <w:vAlign w:val="center"/>
          </w:tcPr>
          <w:p w14:paraId="4680DDDE"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31-40 godina</w:t>
            </w:r>
          </w:p>
        </w:tc>
        <w:tc>
          <w:tcPr>
            <w:tcW w:w="3973" w:type="dxa"/>
            <w:vAlign w:val="center"/>
          </w:tcPr>
          <w:p w14:paraId="58CC75B9"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24</w:t>
            </w:r>
          </w:p>
        </w:tc>
      </w:tr>
      <w:tr w:rsidR="001F77DD" w14:paraId="18014FED" w14:textId="77777777">
        <w:trPr>
          <w:trHeight w:val="463"/>
          <w:tblCellSpacing w:w="15" w:type="dxa"/>
        </w:trPr>
        <w:tc>
          <w:tcPr>
            <w:tcW w:w="3709" w:type="dxa"/>
            <w:vAlign w:val="center"/>
          </w:tcPr>
          <w:p w14:paraId="763EAE3E" w14:textId="77777777" w:rsidR="001F77DD" w:rsidRDefault="001F77DD">
            <w:pPr>
              <w:jc w:val="both"/>
              <w:rPr>
                <w:rFonts w:ascii="Arial" w:eastAsia="Calibri" w:hAnsi="Arial" w:cs="Arial"/>
                <w:sz w:val="20"/>
                <w:szCs w:val="20"/>
                <w:lang w:val="sr-Latn-BA"/>
              </w:rPr>
            </w:pPr>
          </w:p>
        </w:tc>
        <w:tc>
          <w:tcPr>
            <w:tcW w:w="2273" w:type="dxa"/>
            <w:vAlign w:val="center"/>
          </w:tcPr>
          <w:p w14:paraId="5DAF6F91"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41-50 godina</w:t>
            </w:r>
          </w:p>
        </w:tc>
        <w:tc>
          <w:tcPr>
            <w:tcW w:w="3973" w:type="dxa"/>
          </w:tcPr>
          <w:p w14:paraId="2E57EF02"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78</w:t>
            </w:r>
          </w:p>
        </w:tc>
      </w:tr>
      <w:tr w:rsidR="001F77DD" w14:paraId="0563E5B5" w14:textId="77777777">
        <w:trPr>
          <w:trHeight w:val="449"/>
          <w:tblCellSpacing w:w="15" w:type="dxa"/>
        </w:trPr>
        <w:tc>
          <w:tcPr>
            <w:tcW w:w="3709" w:type="dxa"/>
            <w:vAlign w:val="center"/>
          </w:tcPr>
          <w:p w14:paraId="01C32496" w14:textId="77777777" w:rsidR="001F77DD" w:rsidRDefault="001F77DD">
            <w:pPr>
              <w:jc w:val="both"/>
              <w:rPr>
                <w:rFonts w:ascii="Arial" w:eastAsia="Calibri" w:hAnsi="Arial" w:cs="Arial"/>
                <w:sz w:val="20"/>
                <w:szCs w:val="20"/>
                <w:lang w:val="sr-Latn-BA"/>
              </w:rPr>
            </w:pPr>
          </w:p>
        </w:tc>
        <w:tc>
          <w:tcPr>
            <w:tcW w:w="2273" w:type="dxa"/>
            <w:vAlign w:val="center"/>
          </w:tcPr>
          <w:p w14:paraId="365F3588"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51-60 godina</w:t>
            </w:r>
          </w:p>
        </w:tc>
        <w:tc>
          <w:tcPr>
            <w:tcW w:w="3973" w:type="dxa"/>
          </w:tcPr>
          <w:p w14:paraId="7D956E3C"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38</w:t>
            </w:r>
          </w:p>
        </w:tc>
      </w:tr>
      <w:tr w:rsidR="001F77DD" w14:paraId="6470037A" w14:textId="77777777">
        <w:trPr>
          <w:trHeight w:val="463"/>
          <w:tblCellSpacing w:w="15" w:type="dxa"/>
        </w:trPr>
        <w:tc>
          <w:tcPr>
            <w:tcW w:w="3709" w:type="dxa"/>
            <w:vAlign w:val="center"/>
          </w:tcPr>
          <w:p w14:paraId="30F1BC3C" w14:textId="77777777" w:rsidR="001F77DD" w:rsidRDefault="001F77DD">
            <w:pPr>
              <w:jc w:val="both"/>
              <w:rPr>
                <w:rFonts w:ascii="Arial" w:eastAsia="Calibri" w:hAnsi="Arial" w:cs="Arial"/>
                <w:sz w:val="20"/>
                <w:szCs w:val="20"/>
                <w:lang w:val="sr-Latn-BA"/>
              </w:rPr>
            </w:pPr>
          </w:p>
        </w:tc>
        <w:tc>
          <w:tcPr>
            <w:tcW w:w="2273" w:type="dxa"/>
            <w:vAlign w:val="center"/>
          </w:tcPr>
          <w:p w14:paraId="44CF0717"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Preko 60 godina</w:t>
            </w:r>
          </w:p>
        </w:tc>
        <w:tc>
          <w:tcPr>
            <w:tcW w:w="3973" w:type="dxa"/>
          </w:tcPr>
          <w:p w14:paraId="554FC729"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14</w:t>
            </w:r>
          </w:p>
        </w:tc>
      </w:tr>
    </w:tbl>
    <w:p w14:paraId="1CD5E888" w14:textId="77777777" w:rsidR="001F77DD" w:rsidRDefault="001F77DD">
      <w:pPr>
        <w:rPr>
          <w:rFonts w:ascii="Arial" w:hAnsi="Arial" w:cs="Arial"/>
        </w:rPr>
      </w:pPr>
    </w:p>
    <w:p w14:paraId="5AD6A28F" w14:textId="77777777" w:rsidR="001F77DD" w:rsidRDefault="001F77DD">
      <w:pPr>
        <w:spacing w:after="0" w:line="360" w:lineRule="auto"/>
        <w:jc w:val="both"/>
        <w:rPr>
          <w:rFonts w:ascii="Arial" w:eastAsia="Calibri" w:hAnsi="Arial" w:cs="Arial"/>
          <w:sz w:val="20"/>
          <w:szCs w:val="20"/>
          <w:lang w:val="sr-Latn-BA"/>
        </w:rPr>
      </w:pPr>
    </w:p>
    <w:p w14:paraId="140CBE64" w14:textId="77777777" w:rsidR="001F77DD" w:rsidRDefault="001F77DD">
      <w:pPr>
        <w:spacing w:line="360" w:lineRule="auto"/>
        <w:jc w:val="both"/>
        <w:rPr>
          <w:rFonts w:ascii="Arial" w:eastAsia="Calibri" w:hAnsi="Arial" w:cs="Arial"/>
          <w:sz w:val="20"/>
          <w:szCs w:val="20"/>
          <w:lang w:val="sr-Latn-BA"/>
        </w:rPr>
      </w:pPr>
    </w:p>
    <w:p w14:paraId="44931C58" w14:textId="54B738D9" w:rsidR="001F77DD" w:rsidRDefault="00D97F9C">
      <w:pPr>
        <w:spacing w:line="360" w:lineRule="auto"/>
        <w:jc w:val="both"/>
        <w:rPr>
          <w:rFonts w:ascii="Arial" w:eastAsia="Calibri" w:hAnsi="Arial" w:cs="Arial"/>
          <w:sz w:val="20"/>
          <w:szCs w:val="20"/>
          <w:lang w:val="sr-Latn-BA"/>
        </w:rPr>
      </w:pPr>
      <w:r>
        <w:rPr>
          <w:rFonts w:ascii="Arial" w:eastAsia="Calibri" w:hAnsi="Arial" w:cs="Arial"/>
          <w:sz w:val="20"/>
          <w:szCs w:val="20"/>
          <w:lang w:val="sr-Latn-BA"/>
        </w:rPr>
        <w:t xml:space="preserve">Agencijom rukovodi direktor koji je za svoj rad odgovoran ministru civilnih poslova i Vijeću ministara. Direktor ima jednog zamjenika, koji je za svoj rad odgovoran direktoru Agencije. Direktora i zamjenika </w:t>
      </w:r>
      <w:r>
        <w:rPr>
          <w:rFonts w:ascii="Arial" w:eastAsia="Calibri" w:hAnsi="Arial" w:cs="Arial"/>
          <w:sz w:val="20"/>
          <w:szCs w:val="20"/>
          <w:lang w:val="sr-Latn-BA"/>
        </w:rPr>
        <w:lastRenderedPageBreak/>
        <w:t xml:space="preserve">direktora imenuje Vijeće ministara u skladu sa Zakonom o ministarskim imenovanjima, imenovanjima Vijeća ministara i drugim imenovanjima Bosne i Hercegovine </w:t>
      </w:r>
      <w:r>
        <w:rPr>
          <w:rFonts w:ascii="Arial" w:eastAsia="Calibri" w:hAnsi="Arial" w:cs="Arial"/>
          <w:lang w:val="sr-Latn-BA"/>
        </w:rPr>
        <w:t>„</w:t>
      </w:r>
      <w:r>
        <w:rPr>
          <w:rFonts w:ascii="Arial" w:eastAsia="Calibri" w:hAnsi="Arial" w:cs="Arial"/>
          <w:sz w:val="20"/>
          <w:szCs w:val="20"/>
          <w:lang w:val="sr-Latn-BA"/>
        </w:rPr>
        <w:t>Službeni glasnik BiH</w:t>
      </w:r>
      <w:r>
        <w:rPr>
          <w:rFonts w:ascii="Arial" w:eastAsia="Calibri" w:hAnsi="Arial" w:cs="Arial"/>
          <w:lang w:val="sr-Latn-BA"/>
        </w:rPr>
        <w:t>“</w:t>
      </w:r>
      <w:r>
        <w:rPr>
          <w:rFonts w:ascii="Arial" w:eastAsia="Calibri" w:hAnsi="Arial" w:cs="Arial"/>
          <w:sz w:val="20"/>
          <w:szCs w:val="20"/>
          <w:lang w:val="sr-Latn-BA"/>
        </w:rPr>
        <w:t xml:space="preserve">, br. 37/03), te se direktor i zamjenik direktora imenuju na mandat od pet godina, uz mogućnost ponovnog izbora u narednom mandatu. </w:t>
      </w:r>
    </w:p>
    <w:p w14:paraId="5AB335CE" w14:textId="77777777" w:rsidR="001F77DD" w:rsidRDefault="00D97F9C">
      <w:pPr>
        <w:spacing w:line="360" w:lineRule="auto"/>
        <w:jc w:val="both"/>
        <w:rPr>
          <w:rFonts w:ascii="Arial" w:eastAsia="Calibri" w:hAnsi="Arial" w:cs="Arial"/>
          <w:sz w:val="20"/>
          <w:szCs w:val="20"/>
          <w:lang w:val="sr-Latn-BA"/>
        </w:rPr>
      </w:pPr>
      <w:r>
        <w:rPr>
          <w:rFonts w:ascii="Arial" w:eastAsia="Calibri" w:hAnsi="Arial" w:cs="Arial"/>
          <w:sz w:val="20"/>
          <w:szCs w:val="20"/>
          <w:lang w:val="sr-Latn-BA"/>
        </w:rPr>
        <w:t xml:space="preserve">Kapaciteti Agencije, prvenstveno se ogledaju u nedovoljnoj popunjenosti sistematizovanih radnih mjesta, kao i u samim poteškoćama popunjavanja upražnjenih sistematizovanih radnih mjesta. Nadalje, ogledaju se u nedostatku stručno-osposobljenog kadra za obavljanje poslova iz zakonom utvrđenih nadležnosti Agencije, prvenstveno u Tehničkom sektoru Agencije, s obzirom na činjenicu da je u navedenom sektoru sistematizovano 50 radnih mjesta (35 državnih službenika i 15 zaposlenika) a popunjeno je samo 20 radnih mjesta, od čega 17 državnih službenika i 3 zaposlenika. Također, jedan od velikih problema Agencije jeste čest odliv kadra, prvenstveno kadra koji se zapošljava u Tehničkom sektoru, a koji se po dolasku i zasnivanju radnog odnosa u Agenciji, osposobi za obavljanje poslova i zadataka u Tehničkom sektoru Agencije. Naime, navedeni kadar po dobivanju certifikata i određenih vidova obuka koje obezbjedi Agencija kratko se zadrži u Agenciji, kako zbog nezadovoljstva finansijskim segmentom, tako i zbog velike potražnje tako osposobljenog kadra na tržištu rada. Takav kadar nakon prolaska niza stručnih obuka za osposobljenost obavljanja specifičnih poslova i zadataka postaje konkurentan na tržištu rada, te vođen finansijskim aspektima brzo napušta Agenciju.  </w:t>
      </w:r>
    </w:p>
    <w:p w14:paraId="282417DF" w14:textId="77777777" w:rsidR="001F77DD" w:rsidRDefault="00D97F9C">
      <w:pPr>
        <w:spacing w:line="360" w:lineRule="auto"/>
        <w:jc w:val="both"/>
        <w:rPr>
          <w:rFonts w:ascii="Arial" w:eastAsia="Calibri" w:hAnsi="Arial" w:cs="Arial"/>
          <w:sz w:val="20"/>
          <w:szCs w:val="20"/>
          <w:lang w:val="sr-Latn-BA"/>
        </w:rPr>
      </w:pPr>
      <w:r>
        <w:rPr>
          <w:rFonts w:ascii="Arial" w:eastAsia="Calibri" w:hAnsi="Arial" w:cs="Arial"/>
          <w:sz w:val="20"/>
          <w:szCs w:val="20"/>
          <w:lang w:val="sr-Latn-BA"/>
        </w:rPr>
        <w:t>Takođe, veliki problem predstavlja i odliv kadrova srednje stručne spreme u Centru za skadištenje, personalizaciju i transport dokumenata. Naime u proteklih 15 godina Centar je napustilo 18 zaposlenika, uglavnom mlađe životne dobi, koji su bili nezadovoljni obimom posla koji su morali obavljati i iznosom plata koji su dobijali za taj posao, tako da je trenutna prosječna starost zaposlenih na poslovima personalizacijje i transporta dokumenata iznad 54 godine. U naredne tri godine biće penzionisano 10 zaposlenika u Centru, što čini skoro jednu trećinu od ukupnog broja sistematizovanih radnih mjesta u Centru. Agencija nema mehanizam za zadržavanje takvog kadra, s obzirom na to da su sredstva koja se izdvajaju za plate i naknade zaposlenih u Agenciji kao državnoj instituciji utvrđena Zakonom o platama i naknadama u institucijama Bosne i Hercegovine („Službeni glasnik BiH“ br. 50/08, 35/09, 75/09, 32/12, 50/12, 32/13, 87/13,  75/15, 88/15, 16/16, 94/16, 72/17, 25/18, 32/20, 65/20, 59/22, 20/25 i 30/25). Kao korak u borbi protiv navedenog, u Agenciji su učinjeni pokušaji za  zadržavanja pomenutog kadra donošenjem Odluke o dodatku na plaću zaposlenima u Agenciji za identifikacione dokumente, evidenciju i razmjenu podataka Bosne i Hercegovine („Službeni glasnik BiH“ br. 505/21 i 41/22 ) od strane Vijeća ministara Bosne i Hercegovine, kojom je utvrđen dodatak na plaću za obavljanje složenih informatičko-aplikacijskih poslova u Agenciji za zaposlene sa visokom školskom spremom. Agencija je u 2026. godini,  podnjela zahtjev za izmjenu i dopunu postojeće odluke kojom je tražila povećanje već postojećih dodataka kao i utvrđivanje novih dodataka za zaposlene koji su u međuvremnu ostvarili uslove za utvrđivanje dodatka. U navedenom procesu je pribavila pozitivna mišljenja relevantnih istitucija, te će  prijedlog Odluke biti upućen na Vijeće ministara Bosne i Hercegovine.</w:t>
      </w:r>
    </w:p>
    <w:p w14:paraId="0BB49F68" w14:textId="77777777" w:rsidR="001F77DD" w:rsidRDefault="00D97F9C">
      <w:pPr>
        <w:spacing w:line="360" w:lineRule="auto"/>
        <w:jc w:val="both"/>
        <w:rPr>
          <w:rFonts w:ascii="Arial" w:eastAsia="Calibri" w:hAnsi="Arial" w:cs="Arial"/>
          <w:sz w:val="20"/>
          <w:szCs w:val="20"/>
          <w:lang w:val="sr-Latn-BA"/>
        </w:rPr>
      </w:pPr>
      <w:r>
        <w:rPr>
          <w:rFonts w:ascii="Arial" w:eastAsia="Calibri" w:hAnsi="Arial" w:cs="Arial"/>
          <w:sz w:val="20"/>
          <w:szCs w:val="20"/>
          <w:lang w:val="sr-Latn-BA"/>
        </w:rPr>
        <w:lastRenderedPageBreak/>
        <w:t xml:space="preserve">U skladu s važećim zakonskim propisima, Agencija nema način da zadrži zaposlenike na poslovima personalizacije i transporta dokumenata. U cilju pronalaska rješenja za ove izazove, Agencija će predložiti izmjene Zakona o platama i naknadama u institucijama Bosne i Hercegovine (Službeni glasnik Bosne i Hercegovine br. 50/2008, 35/2009, 75/2009, 80/2010 - odluka US, 32/2012, 42/2012, 50/2012, 32/2013, 87/2013, 75/2015, 88/2015, 16/2016, 94/2016, 72/2017, 25/2018, 32/2020, 65/2020, 59/2022, 20/2025 i 30/2025), kako bi zaposleni koji rade direktno na poslovima personalizacije i transporta dokumenata imali poseban dodatak na platu.  </w:t>
      </w:r>
    </w:p>
    <w:p w14:paraId="2B5400A5" w14:textId="77777777" w:rsidR="001F77DD" w:rsidRDefault="00D97F9C">
      <w:pPr>
        <w:spacing w:line="360" w:lineRule="auto"/>
        <w:ind w:right="4"/>
        <w:jc w:val="both"/>
        <w:rPr>
          <w:rFonts w:ascii="Arial" w:eastAsia="Calibri" w:hAnsi="Arial" w:cs="Arial"/>
          <w:sz w:val="20"/>
          <w:szCs w:val="20"/>
          <w:lang w:val="sr-Latn-BA"/>
        </w:rPr>
      </w:pPr>
      <w:r>
        <w:rPr>
          <w:rFonts w:ascii="Arial" w:eastAsia="Calibri" w:hAnsi="Arial" w:cs="Arial"/>
          <w:sz w:val="20"/>
          <w:szCs w:val="20"/>
          <w:lang w:val="sr-Latn-BA"/>
        </w:rPr>
        <w:t xml:space="preserve">Međutim, iako trenutni ljudski kapaciteti i resursi Agencije uspijevaju obavljati svakodnevne poslove i zadatke iz nadležnosti Agencije, rapidni razvoj tehnologije i informacionog sistema postavlja nove izazove. Ovi izazovi zahtijevaju dodatne resurse i stručnost koju trenutni kapaciteti možda neće moći u potpunosti ispratiti. U Agenciji je na osnovu analitičkih pokazatelja planirana povećana personalizacija dokumenata, uzimajući u obzir brojne faktore kao što su: dokumenta koja će prestati da važe u narednoj godini, dokumenta kojima je već ranije istekao rok važenja, broj zahtjeva za izdavanje prvog dokumenta za građane koji napune 18 godina, prosječan broj zahtjeva za izdavanje prve lične karte za građane od 16 do 18 godina, prosječan broj zamjene dokumenta radi promjene prebivališta, prosječan broj izgubljenih dokumenata u jednoj godini, prosječan broj zahtjeva zbog promjene podataka navedenih u dokumentu, prosječan broj zahtjeva zbog oštećenja dokumenta, prosječan broj zahtjeva zbog ispravke netačnih podataka, prosječan broj zahtjeva zbog promjene izgleda imaoca, te prosječan broj važećih, a nepreuzetih dokumenata. </w:t>
      </w:r>
    </w:p>
    <w:p w14:paraId="50A985B1" w14:textId="6DB43FEC" w:rsidR="001F77DD" w:rsidRDefault="00D97F9C">
      <w:pPr>
        <w:spacing w:line="360" w:lineRule="auto"/>
        <w:jc w:val="both"/>
        <w:rPr>
          <w:rFonts w:ascii="Arial" w:eastAsia="Calibri" w:hAnsi="Arial" w:cs="Arial"/>
          <w:sz w:val="20"/>
          <w:szCs w:val="20"/>
          <w:lang w:val="sr-Latn-BA"/>
        </w:rPr>
      </w:pPr>
      <w:r>
        <w:rPr>
          <w:rFonts w:ascii="Arial" w:eastAsia="Calibri" w:hAnsi="Arial" w:cs="Arial"/>
          <w:sz w:val="20"/>
          <w:szCs w:val="20"/>
          <w:lang w:val="sr-Latn-BA"/>
        </w:rPr>
        <w:t xml:space="preserve">Agencija je pokrenula proceduru donošenja novog Pravilnika o unutrašnjoj organizaciji pri čijoj izradi je rukovodstvo vodilo računa o stvarnim potrebama posla, prvenstveno raspoređujući zaposlene na radna mjesta koja odgovaraju njihovim kvalifikacijama (stručnoj spremi i ostalim posebnim uvjetima), kao i o formiranju novih radnih mjesta i odsjeka koji bi u potpunosti mogli rješiti problematiku. </w:t>
      </w:r>
    </w:p>
    <w:p w14:paraId="370535EC" w14:textId="39D703DB" w:rsidR="001F77DD" w:rsidRDefault="00D97F9C">
      <w:pPr>
        <w:spacing w:line="360" w:lineRule="auto"/>
        <w:jc w:val="both"/>
        <w:rPr>
          <w:rFonts w:ascii="Arial" w:eastAsia="Calibri" w:hAnsi="Arial" w:cs="Arial"/>
          <w:sz w:val="20"/>
          <w:szCs w:val="20"/>
          <w:lang w:val="sr-Latn-BA"/>
        </w:rPr>
      </w:pPr>
      <w:r>
        <w:rPr>
          <w:rFonts w:ascii="Arial" w:eastAsia="Calibri" w:hAnsi="Arial" w:cs="Arial"/>
          <w:sz w:val="20"/>
          <w:szCs w:val="20"/>
          <w:lang w:val="sr-Latn-BA"/>
        </w:rPr>
        <w:t>Poseban izazov za period 2027–2031. predstavlja osiguravanje dovoljnog broja specijalizovanih stručnjaka za baze podataka, mrežne tehnologije, razvoj softvera, PKI, cyber sigurnost, biometrijske sisteme, sigurnost identifikacionih dokumenata, zaštitu ličnih podataka i upravljanje kritičnom infrastrukturom. Planiranje kadrova zasnivat će se na analizi kritičnih poslovnih procesa, potrebnih kompetencija i rizika za kontinuitet rada.</w:t>
      </w:r>
    </w:p>
    <w:p w14:paraId="17E48FC7" w14:textId="77777777" w:rsidR="001F77DD" w:rsidRDefault="00D97F9C">
      <w:pPr>
        <w:spacing w:line="360" w:lineRule="auto"/>
        <w:jc w:val="both"/>
        <w:rPr>
          <w:rFonts w:ascii="Arial" w:eastAsia="Calibri" w:hAnsi="Arial" w:cs="Arial"/>
          <w:b/>
          <w:sz w:val="20"/>
          <w:szCs w:val="20"/>
          <w:lang w:val="sr-Latn-BA"/>
        </w:rPr>
      </w:pPr>
      <w:r>
        <w:rPr>
          <w:rFonts w:ascii="Arial" w:eastAsia="Calibri" w:hAnsi="Arial" w:cs="Arial"/>
          <w:b/>
          <w:sz w:val="20"/>
          <w:szCs w:val="20"/>
          <w:lang w:val="sr-Latn-BA"/>
        </w:rPr>
        <w:t>Upravljanje operativnim radom ovjerioca</w:t>
      </w:r>
    </w:p>
    <w:p w14:paraId="7C6D17B3" w14:textId="77777777" w:rsidR="001F77DD" w:rsidRDefault="00D97F9C">
      <w:pPr>
        <w:spacing w:line="360" w:lineRule="auto"/>
        <w:jc w:val="both"/>
        <w:rPr>
          <w:rFonts w:ascii="Arial" w:eastAsia="Calibri" w:hAnsi="Arial" w:cs="Arial"/>
          <w:sz w:val="20"/>
          <w:szCs w:val="20"/>
          <w:lang w:val="sr-Latn-BA"/>
        </w:rPr>
      </w:pPr>
      <w:r>
        <w:rPr>
          <w:rFonts w:ascii="Arial" w:eastAsia="Calibri" w:hAnsi="Arial" w:cs="Arial"/>
          <w:sz w:val="20"/>
          <w:szCs w:val="20"/>
          <w:lang w:val="sr-Latn-BA"/>
        </w:rPr>
        <w:t>U okviru operativnog sistema ovjerioca IDDEEA koristi registracione funkcije potrebne za pouzdanu identifikaciju i registraciju korisnika i druge radnje u životnom ciklusu elektronskih certifikata.</w:t>
      </w:r>
    </w:p>
    <w:p w14:paraId="003318A8" w14:textId="77777777" w:rsidR="001F77DD" w:rsidRDefault="00D97F9C">
      <w:pPr>
        <w:spacing w:line="360" w:lineRule="auto"/>
        <w:jc w:val="both"/>
        <w:rPr>
          <w:rFonts w:ascii="Arial" w:eastAsia="Calibri" w:hAnsi="Arial" w:cs="Arial"/>
          <w:sz w:val="20"/>
          <w:szCs w:val="20"/>
          <w:lang w:val="sr-Latn-BA"/>
        </w:rPr>
      </w:pPr>
      <w:r>
        <w:rPr>
          <w:rFonts w:ascii="Arial" w:eastAsia="Calibri" w:hAnsi="Arial" w:cs="Arial"/>
          <w:sz w:val="20"/>
          <w:szCs w:val="20"/>
          <w:lang w:val="sr-Latn-BA"/>
        </w:rPr>
        <w:t>Registracione tačke mogu djelovati u organizacionim jedinicama IDDEEA-e i, kada za to postoje odgovarajuće pravne i operativne pretpostavke, kod drugih subjekata na osnovu odgovarajućeg pravnog odnosa i pravila rada ovjerioca.</w:t>
      </w:r>
    </w:p>
    <w:p w14:paraId="4345846D" w14:textId="77777777" w:rsidR="001F77DD" w:rsidRDefault="00D97F9C">
      <w:pPr>
        <w:spacing w:line="360" w:lineRule="auto"/>
        <w:jc w:val="both"/>
        <w:rPr>
          <w:rFonts w:ascii="Arial" w:eastAsia="Calibri" w:hAnsi="Arial" w:cs="Arial"/>
          <w:sz w:val="20"/>
          <w:szCs w:val="20"/>
          <w:lang w:val="sr-Latn-BA"/>
        </w:rPr>
      </w:pPr>
      <w:r>
        <w:rPr>
          <w:rFonts w:ascii="Arial" w:eastAsia="Calibri" w:hAnsi="Arial" w:cs="Arial"/>
          <w:sz w:val="20"/>
          <w:szCs w:val="20"/>
          <w:lang w:val="sr-Latn-BA"/>
        </w:rPr>
        <w:lastRenderedPageBreak/>
        <w:t>Uspostavljanje registracione tačke ne predstavlja osnivanje novog organa uprave niti prenos materijalne nadležnosti. Obim poslova registracione tačke mora biti precizno definisan primjenjivim propisima, pravilima i politikama ovjerioca i odgovarajućim pravnim aktom.</w:t>
      </w:r>
    </w:p>
    <w:p w14:paraId="5F18B6F7" w14:textId="6AA5E414" w:rsidR="001F77DD" w:rsidRDefault="001F77DD">
      <w:pPr>
        <w:spacing w:line="360" w:lineRule="auto"/>
        <w:jc w:val="both"/>
        <w:rPr>
          <w:rFonts w:ascii="Arial" w:eastAsia="Calibri" w:hAnsi="Arial" w:cs="Arial"/>
          <w:color w:val="C00000"/>
          <w:sz w:val="20"/>
          <w:szCs w:val="20"/>
          <w:lang w:val="sr-Latn-BA"/>
        </w:rPr>
      </w:pPr>
    </w:p>
    <w:p w14:paraId="4FED5531" w14:textId="77777777" w:rsidR="001F77DD" w:rsidRDefault="001F77DD">
      <w:pPr>
        <w:jc w:val="both"/>
        <w:rPr>
          <w:rFonts w:ascii="Arial" w:eastAsia="Calibri" w:hAnsi="Arial" w:cs="Arial"/>
          <w:sz w:val="20"/>
          <w:szCs w:val="20"/>
          <w:lang w:val="sr-Latn-BA"/>
        </w:rPr>
      </w:pPr>
    </w:p>
    <w:p w14:paraId="2EE6209B" w14:textId="61D838A7" w:rsidR="001F77DD" w:rsidRDefault="00D97F9C">
      <w:pPr>
        <w:pStyle w:val="ListParagraph"/>
        <w:numPr>
          <w:ilvl w:val="1"/>
          <w:numId w:val="20"/>
        </w:numPr>
        <w:spacing w:after="0" w:line="360" w:lineRule="auto"/>
        <w:jc w:val="both"/>
        <w:rPr>
          <w:rFonts w:ascii="Arial" w:hAnsi="Arial" w:cs="Arial"/>
          <w:sz w:val="20"/>
          <w:szCs w:val="20"/>
          <w:lang w:val="sr-Latn-BA"/>
        </w:rPr>
      </w:pPr>
      <w:r>
        <w:rPr>
          <w:rFonts w:ascii="Arial" w:hAnsi="Arial" w:cs="Arial"/>
          <w:b/>
          <w:bCs/>
          <w:i/>
          <w:iCs/>
          <w:lang w:val="sr-Latn-BA"/>
        </w:rPr>
        <w:t>Identifikacioni dokumenti i personalizacija</w:t>
      </w:r>
    </w:p>
    <w:p w14:paraId="179290D6"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Razvoj identifikacionih dokumenata i sistema njihove personalizacije predstavlja jednu od osnovnih zakonskih funkcija Agencije. Razvoj u periodu 2027–2031. bit će usmjeren na povećanje sigurnosti dokumenata, tehnološko zanavljanje, međunarodnu interoperabilnost, pouzdanost personalizacije, kontrolu kvaliteta, sljedivost obrazaca i kontinuitet proizvodnje.</w:t>
      </w:r>
    </w:p>
    <w:p w14:paraId="3F023CA1" w14:textId="6CCB31B0"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Prilikom razvoja novih generacija dokumenata primjenjivat će se važeći propisi Bosne i Hercegovine, odluke nadležnih institucija, ICAO Doc 9303 i drugi relevantni tehnički standardi.</w:t>
      </w:r>
    </w:p>
    <w:p w14:paraId="4D7D9B32" w14:textId="79C10D3D" w:rsidR="001F77DD" w:rsidRDefault="00D97F9C">
      <w:pPr>
        <w:keepNext/>
        <w:keepLines/>
        <w:numPr>
          <w:ilvl w:val="2"/>
          <w:numId w:val="20"/>
        </w:numPr>
        <w:spacing w:before="200" w:after="0" w:line="360" w:lineRule="auto"/>
        <w:outlineLvl w:val="2"/>
        <w:rPr>
          <w:rFonts w:ascii="Arial" w:eastAsia="Calibri" w:hAnsi="Arial" w:cs="Arial"/>
          <w:b/>
          <w:bCs/>
          <w:sz w:val="20"/>
          <w:szCs w:val="20"/>
          <w:lang w:val="sr-Latn-BA"/>
        </w:rPr>
      </w:pPr>
      <w:bookmarkStart w:id="5" w:name="_Toc153105950"/>
      <w:bookmarkStart w:id="6" w:name="_Toc213758713"/>
      <w:r>
        <w:rPr>
          <w:rFonts w:ascii="Arial" w:eastAsia="Calibri" w:hAnsi="Arial" w:cs="Arial"/>
          <w:b/>
          <w:bCs/>
          <w:sz w:val="20"/>
          <w:szCs w:val="20"/>
          <w:lang w:val="sr-Latn-BA"/>
        </w:rPr>
        <w:t>Uvođenje nove generacije postojećih identifikacionih dokumenata</w:t>
      </w:r>
      <w:bookmarkEnd w:id="5"/>
      <w:bookmarkEnd w:id="6"/>
      <w:r>
        <w:rPr>
          <w:rFonts w:ascii="Arial" w:eastAsia="Calibri" w:hAnsi="Arial" w:cs="Arial"/>
          <w:b/>
          <w:bCs/>
          <w:sz w:val="20"/>
          <w:szCs w:val="20"/>
          <w:lang w:val="sr-Latn-BA"/>
        </w:rPr>
        <w:t xml:space="preserve"> </w:t>
      </w:r>
    </w:p>
    <w:p w14:paraId="66B7B28A" w14:textId="77777777" w:rsidR="001F77DD" w:rsidRDefault="001F77DD">
      <w:pPr>
        <w:spacing w:after="0" w:line="360" w:lineRule="auto"/>
        <w:jc w:val="both"/>
        <w:rPr>
          <w:rFonts w:ascii="Arial" w:eastAsia="Calibri" w:hAnsi="Arial" w:cs="Arial"/>
          <w:sz w:val="20"/>
          <w:szCs w:val="20"/>
          <w:lang w:val="sr-Latn-BA"/>
        </w:rPr>
      </w:pPr>
    </w:p>
    <w:p w14:paraId="30494F1F"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Nove generacije postojećih dokumenata uskladiti sa savremenim tehnologijama i međunarodnim standardima posebno ICAO DOC 9303. U narednom periodu, Agencija planira uvođenje nove generacije:</w:t>
      </w:r>
    </w:p>
    <w:p w14:paraId="076D1CD3" w14:textId="77777777" w:rsidR="001F77DD" w:rsidRDefault="001F77DD">
      <w:pPr>
        <w:spacing w:after="0" w:line="360" w:lineRule="auto"/>
        <w:jc w:val="both"/>
        <w:rPr>
          <w:rFonts w:ascii="Arial" w:eastAsia="Calibri" w:hAnsi="Arial" w:cs="Arial"/>
          <w:sz w:val="20"/>
          <w:szCs w:val="20"/>
          <w:lang w:val="sr-Latn-BA"/>
        </w:rPr>
      </w:pPr>
    </w:p>
    <w:p w14:paraId="7FF785D8" w14:textId="77777777" w:rsidR="001F77DD" w:rsidRDefault="00D97F9C">
      <w:pPr>
        <w:numPr>
          <w:ilvl w:val="0"/>
          <w:numId w:val="14"/>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 xml:space="preserve">Pasoša za izbjegla i raseljena lica, kao i pasoša za lica bez državljanstva, </w:t>
      </w:r>
    </w:p>
    <w:p w14:paraId="55D69C57" w14:textId="77777777" w:rsidR="001F77DD" w:rsidRDefault="001F77DD">
      <w:pPr>
        <w:spacing w:after="0" w:line="360" w:lineRule="auto"/>
        <w:ind w:left="360"/>
        <w:contextualSpacing/>
        <w:jc w:val="both"/>
        <w:rPr>
          <w:rFonts w:ascii="Arial" w:eastAsia="Calibri" w:hAnsi="Arial" w:cs="Arial"/>
          <w:sz w:val="20"/>
          <w:szCs w:val="20"/>
          <w:lang w:val="sr-Latn-BA"/>
        </w:rPr>
      </w:pPr>
    </w:p>
    <w:p w14:paraId="25388C99" w14:textId="77777777" w:rsidR="001F77DD" w:rsidRDefault="00D97F9C">
      <w:pPr>
        <w:numPr>
          <w:ilvl w:val="1"/>
          <w:numId w:val="14"/>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Trenutno se koristi druga generacija pasoša (papirna stranica s podacima) koji se personalizuju inkjet tehnologijom na opremi koja je nabavljenja 2010. godine.</w:t>
      </w:r>
    </w:p>
    <w:p w14:paraId="32BE9F8A" w14:textId="1D260BAD" w:rsidR="001F77DD" w:rsidRDefault="00D97F9C">
      <w:pPr>
        <w:numPr>
          <w:ilvl w:val="1"/>
          <w:numId w:val="14"/>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Implementacija treće generacije ovih pasoša s polikarbonatnom stranicom - implementacija do kraja 2026, početak 2027.</w:t>
      </w:r>
    </w:p>
    <w:p w14:paraId="55FB311F" w14:textId="77777777" w:rsidR="001F77DD" w:rsidRDefault="00D97F9C">
      <w:pPr>
        <w:numPr>
          <w:ilvl w:val="0"/>
          <w:numId w:val="14"/>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Pograničnih propusnica (sadašnje sadrže čipove iz 2013. godine NXP Smart MX P5),</w:t>
      </w:r>
    </w:p>
    <w:p w14:paraId="209850C0" w14:textId="77777777" w:rsidR="001F77DD" w:rsidRDefault="001F77DD">
      <w:pPr>
        <w:spacing w:after="0" w:line="360" w:lineRule="auto"/>
        <w:ind w:left="720"/>
        <w:contextualSpacing/>
        <w:jc w:val="both"/>
        <w:rPr>
          <w:rFonts w:ascii="Arial" w:eastAsia="Calibri" w:hAnsi="Arial" w:cs="Arial"/>
          <w:sz w:val="20"/>
          <w:szCs w:val="20"/>
          <w:lang w:val="sr-Latn-BA"/>
        </w:rPr>
      </w:pPr>
    </w:p>
    <w:p w14:paraId="0E5E8B1A" w14:textId="572E6261" w:rsidR="001F77DD" w:rsidRDefault="00D97F9C">
      <w:pPr>
        <w:numPr>
          <w:ilvl w:val="1"/>
          <w:numId w:val="14"/>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BiH ima potpisane sporazume o pograničnim propusnicama s Republikom Hrvatskom i Crnom Gorom, a u završnoj je fazi potpisivanja sporazuma i sa Republikom Srbijom. Trenutno se koriste pogranične propusnice koje su nabavljene 2013. godine i kojih ima na stanju 8.000. Potrebno je planirati nabavku nove generacije pograničnih propusnica - nabavka planirana za 2027.</w:t>
      </w:r>
    </w:p>
    <w:p w14:paraId="5C0B2482" w14:textId="77777777" w:rsidR="001F77DD" w:rsidRDefault="001F77DD">
      <w:pPr>
        <w:spacing w:after="0" w:line="360" w:lineRule="auto"/>
        <w:ind w:left="1440"/>
        <w:contextualSpacing/>
        <w:jc w:val="both"/>
        <w:rPr>
          <w:rFonts w:ascii="Arial" w:eastAsia="Calibri" w:hAnsi="Arial" w:cs="Arial"/>
          <w:sz w:val="20"/>
          <w:szCs w:val="20"/>
          <w:lang w:val="sr-Latn-BA"/>
        </w:rPr>
      </w:pPr>
    </w:p>
    <w:p w14:paraId="328474AE" w14:textId="362FB7AC" w:rsidR="001F77DD" w:rsidRDefault="00D97F9C">
      <w:pPr>
        <w:numPr>
          <w:ilvl w:val="0"/>
          <w:numId w:val="14"/>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Pasoša  - pokretanje nove nabavke u 2028. godini,</w:t>
      </w:r>
    </w:p>
    <w:p w14:paraId="1E7D0ECE" w14:textId="77777777" w:rsidR="001F77DD" w:rsidRDefault="00D97F9C">
      <w:pPr>
        <w:numPr>
          <w:ilvl w:val="0"/>
          <w:numId w:val="14"/>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Službenih i diplomatskih pasoša,</w:t>
      </w:r>
    </w:p>
    <w:p w14:paraId="3EADB546" w14:textId="77777777" w:rsidR="001F77DD" w:rsidRDefault="001F77DD">
      <w:pPr>
        <w:spacing w:after="0" w:line="360" w:lineRule="auto"/>
        <w:ind w:left="720"/>
        <w:contextualSpacing/>
        <w:jc w:val="both"/>
        <w:rPr>
          <w:rFonts w:ascii="Arial" w:eastAsia="Calibri" w:hAnsi="Arial" w:cs="Arial"/>
          <w:sz w:val="20"/>
          <w:szCs w:val="20"/>
          <w:lang w:val="sr-Latn-BA"/>
        </w:rPr>
      </w:pPr>
    </w:p>
    <w:p w14:paraId="2910205D" w14:textId="77777777" w:rsidR="001F77DD" w:rsidRDefault="00D97F9C">
      <w:pPr>
        <w:numPr>
          <w:ilvl w:val="1"/>
          <w:numId w:val="14"/>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lastRenderedPageBreak/>
        <w:t>Trenutno se koristi druga generacija ovih pasoša, a u  toku su aktivnosti da se pređe na treću generaciju</w:t>
      </w:r>
    </w:p>
    <w:p w14:paraId="6AB652C5" w14:textId="77777777" w:rsidR="001F77DD" w:rsidRDefault="001F77DD">
      <w:pPr>
        <w:spacing w:after="0" w:line="360" w:lineRule="auto"/>
        <w:ind w:left="1440"/>
        <w:contextualSpacing/>
        <w:jc w:val="both"/>
        <w:rPr>
          <w:rFonts w:ascii="Arial" w:eastAsia="Calibri" w:hAnsi="Arial" w:cs="Arial"/>
          <w:sz w:val="20"/>
          <w:szCs w:val="20"/>
          <w:lang w:val="sr-Latn-BA"/>
        </w:rPr>
      </w:pPr>
    </w:p>
    <w:p w14:paraId="6F92383D" w14:textId="77777777" w:rsidR="001F77DD" w:rsidRDefault="00D97F9C">
      <w:pPr>
        <w:numPr>
          <w:ilvl w:val="0"/>
          <w:numId w:val="14"/>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Lične karte i vozačke dozvole,</w:t>
      </w:r>
    </w:p>
    <w:p w14:paraId="578472D8" w14:textId="77777777" w:rsidR="001F77DD" w:rsidRDefault="00D97F9C">
      <w:pPr>
        <w:numPr>
          <w:ilvl w:val="0"/>
          <w:numId w:val="14"/>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Potvrda o registraciji i vlasništvu vozila,</w:t>
      </w:r>
    </w:p>
    <w:p w14:paraId="0F36BDE2" w14:textId="77777777" w:rsidR="001F77DD" w:rsidRDefault="00D97F9C">
      <w:pPr>
        <w:numPr>
          <w:ilvl w:val="0"/>
          <w:numId w:val="14"/>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Tahografskih kartica (do kraja 2026 će se početi koristiti genracija G2V2),</w:t>
      </w:r>
    </w:p>
    <w:p w14:paraId="0093C2F5" w14:textId="77777777" w:rsidR="001F77DD" w:rsidRDefault="001F77DD">
      <w:pPr>
        <w:spacing w:after="0" w:line="360" w:lineRule="auto"/>
        <w:rPr>
          <w:rFonts w:ascii="Arial" w:eastAsia="Calibri" w:hAnsi="Arial" w:cs="Arial"/>
          <w:sz w:val="20"/>
          <w:szCs w:val="20"/>
          <w:lang w:val="sr-Latn-BA"/>
        </w:rPr>
      </w:pPr>
    </w:p>
    <w:p w14:paraId="09DC69C4" w14:textId="77777777" w:rsidR="001F77DD" w:rsidRDefault="00D97F9C">
      <w:pPr>
        <w:spacing w:after="0" w:line="360" w:lineRule="auto"/>
        <w:rPr>
          <w:rFonts w:ascii="Arial" w:eastAsia="Calibri" w:hAnsi="Arial" w:cs="Arial"/>
          <w:sz w:val="20"/>
          <w:szCs w:val="20"/>
          <w:lang w:val="sr-Latn-BA"/>
        </w:rPr>
      </w:pPr>
      <w:r>
        <w:rPr>
          <w:rFonts w:ascii="Arial" w:eastAsia="Calibri" w:hAnsi="Arial" w:cs="Arial"/>
          <w:sz w:val="20"/>
          <w:szCs w:val="20"/>
          <w:lang w:val="sr-Latn-BA"/>
        </w:rPr>
        <w:t>Prilikom uvođenja nove generacije dokumenata, potrebno je:</w:t>
      </w:r>
    </w:p>
    <w:p w14:paraId="67D231FB" w14:textId="77777777" w:rsidR="001F77DD" w:rsidRDefault="001F77DD">
      <w:pPr>
        <w:spacing w:after="0" w:line="360" w:lineRule="auto"/>
        <w:rPr>
          <w:rFonts w:ascii="Arial" w:eastAsia="Calibri" w:hAnsi="Arial" w:cs="Arial"/>
          <w:lang w:val="sr-Latn-BA"/>
        </w:rPr>
      </w:pPr>
    </w:p>
    <w:p w14:paraId="05D469B7" w14:textId="77777777" w:rsidR="001F77DD" w:rsidRDefault="00D97F9C">
      <w:pPr>
        <w:numPr>
          <w:ilvl w:val="0"/>
          <w:numId w:val="14"/>
        </w:numPr>
        <w:spacing w:after="0" w:line="360" w:lineRule="auto"/>
        <w:contextualSpacing/>
        <w:jc w:val="both"/>
        <w:rPr>
          <w:rFonts w:ascii="Arial" w:eastAsia="Calibri" w:hAnsi="Arial" w:cs="Arial"/>
          <w:lang w:val="sr-Latn-BA"/>
        </w:rPr>
      </w:pPr>
      <w:r>
        <w:rPr>
          <w:rFonts w:ascii="Arial" w:eastAsia="Calibri" w:hAnsi="Arial" w:cs="Arial"/>
          <w:sz w:val="20"/>
          <w:szCs w:val="20"/>
          <w:lang w:val="sr-Latn-BA"/>
        </w:rPr>
        <w:t>Izabrati način personalizacije dokumenata kako bi se na odgovorajući način zanovila oprema za personalizaciju,  pri čemu je potrebno voditi računa o:</w:t>
      </w:r>
      <w:r>
        <w:rPr>
          <w:rFonts w:ascii="Arial" w:eastAsia="Calibri" w:hAnsi="Arial" w:cs="Arial"/>
          <w:lang w:val="sr-Latn-BA"/>
        </w:rPr>
        <w:t xml:space="preserve"> </w:t>
      </w:r>
    </w:p>
    <w:p w14:paraId="40E84ACD" w14:textId="77777777" w:rsidR="001F77DD" w:rsidRDefault="001F77DD">
      <w:pPr>
        <w:spacing w:after="0" w:line="360" w:lineRule="auto"/>
        <w:ind w:left="720"/>
        <w:contextualSpacing/>
        <w:jc w:val="both"/>
        <w:rPr>
          <w:rFonts w:ascii="Arial" w:eastAsia="Calibri" w:hAnsi="Arial" w:cs="Arial"/>
          <w:lang w:val="sr-Latn-BA"/>
        </w:rPr>
      </w:pPr>
    </w:p>
    <w:p w14:paraId="2A8A7297" w14:textId="77777777" w:rsidR="001F77DD" w:rsidRDefault="00D97F9C">
      <w:pPr>
        <w:numPr>
          <w:ilvl w:val="1"/>
          <w:numId w:val="15"/>
        </w:numPr>
        <w:spacing w:after="0" w:line="360" w:lineRule="auto"/>
        <w:contextualSpacing/>
        <w:rPr>
          <w:rFonts w:ascii="Arial" w:eastAsia="Calibri" w:hAnsi="Arial" w:cs="Arial"/>
          <w:sz w:val="20"/>
          <w:szCs w:val="20"/>
          <w:lang w:val="sr-Latn-BA"/>
        </w:rPr>
      </w:pPr>
      <w:r>
        <w:rPr>
          <w:rFonts w:ascii="Arial" w:eastAsia="Calibri" w:hAnsi="Arial" w:cs="Arial"/>
          <w:sz w:val="20"/>
          <w:szCs w:val="20"/>
          <w:lang w:val="sr-Latn-BA"/>
        </w:rPr>
        <w:t>sigurnosti dokumenata,</w:t>
      </w:r>
    </w:p>
    <w:p w14:paraId="1C5AD5B6" w14:textId="77777777" w:rsidR="001F77DD" w:rsidRDefault="00D97F9C">
      <w:pPr>
        <w:numPr>
          <w:ilvl w:val="1"/>
          <w:numId w:val="15"/>
        </w:numPr>
        <w:spacing w:after="0" w:line="360" w:lineRule="auto"/>
        <w:contextualSpacing/>
        <w:rPr>
          <w:rFonts w:ascii="Arial" w:eastAsia="Calibri" w:hAnsi="Arial" w:cs="Arial"/>
          <w:sz w:val="20"/>
          <w:szCs w:val="20"/>
          <w:lang w:val="sr-Latn-BA"/>
        </w:rPr>
      </w:pPr>
      <w:r>
        <w:rPr>
          <w:rFonts w:ascii="Arial" w:eastAsia="Calibri" w:hAnsi="Arial" w:cs="Arial"/>
          <w:sz w:val="20"/>
          <w:szCs w:val="20"/>
          <w:lang w:val="sr-Latn-BA"/>
        </w:rPr>
        <w:t>škartu,</w:t>
      </w:r>
    </w:p>
    <w:p w14:paraId="63C56C33" w14:textId="77777777" w:rsidR="001F77DD" w:rsidRDefault="00D97F9C">
      <w:pPr>
        <w:numPr>
          <w:ilvl w:val="1"/>
          <w:numId w:val="15"/>
        </w:numPr>
        <w:spacing w:after="0" w:line="360" w:lineRule="auto"/>
        <w:contextualSpacing/>
        <w:rPr>
          <w:rFonts w:ascii="Arial" w:eastAsia="Calibri" w:hAnsi="Arial" w:cs="Arial"/>
          <w:sz w:val="20"/>
          <w:szCs w:val="20"/>
          <w:lang w:val="sr-Latn-BA"/>
        </w:rPr>
      </w:pPr>
      <w:r>
        <w:rPr>
          <w:rFonts w:ascii="Arial" w:eastAsia="Calibri" w:hAnsi="Arial" w:cs="Arial"/>
          <w:sz w:val="20"/>
          <w:szCs w:val="20"/>
          <w:lang w:val="sr-Latn-BA"/>
        </w:rPr>
        <w:t>potrošnom materijalu,</w:t>
      </w:r>
    </w:p>
    <w:p w14:paraId="27D4CC80" w14:textId="77777777" w:rsidR="001F77DD" w:rsidRDefault="00D97F9C">
      <w:pPr>
        <w:numPr>
          <w:ilvl w:val="1"/>
          <w:numId w:val="15"/>
        </w:numPr>
        <w:spacing w:after="0" w:line="360" w:lineRule="auto"/>
        <w:contextualSpacing/>
        <w:rPr>
          <w:rFonts w:ascii="Arial" w:eastAsia="Calibri" w:hAnsi="Arial" w:cs="Arial"/>
          <w:sz w:val="20"/>
          <w:szCs w:val="20"/>
          <w:lang w:val="sr-Latn-BA"/>
        </w:rPr>
      </w:pPr>
      <w:r>
        <w:rPr>
          <w:rFonts w:ascii="Arial" w:eastAsia="Calibri" w:hAnsi="Arial" w:cs="Arial"/>
          <w:sz w:val="20"/>
          <w:szCs w:val="20"/>
          <w:lang w:val="sr-Latn-BA"/>
        </w:rPr>
        <w:t>stabilnosti procesa (minimum kritičnih tačaka),</w:t>
      </w:r>
    </w:p>
    <w:p w14:paraId="29B61A86" w14:textId="77777777" w:rsidR="001F77DD" w:rsidRDefault="00D97F9C">
      <w:pPr>
        <w:numPr>
          <w:ilvl w:val="1"/>
          <w:numId w:val="15"/>
        </w:numPr>
        <w:spacing w:after="0" w:line="360" w:lineRule="auto"/>
        <w:contextualSpacing/>
        <w:rPr>
          <w:rFonts w:ascii="Arial" w:eastAsia="Calibri" w:hAnsi="Arial" w:cs="Arial"/>
          <w:sz w:val="20"/>
          <w:szCs w:val="20"/>
          <w:lang w:val="sr-Latn-BA"/>
        </w:rPr>
      </w:pPr>
      <w:r>
        <w:rPr>
          <w:rFonts w:ascii="Arial" w:eastAsia="Calibri" w:hAnsi="Arial" w:cs="Arial"/>
          <w:sz w:val="20"/>
          <w:szCs w:val="20"/>
          <w:lang w:val="sr-Latn-BA"/>
        </w:rPr>
        <w:t>potrebnom vremenu izrade dokumenata (automatizacija procesa).</w:t>
      </w:r>
    </w:p>
    <w:p w14:paraId="4A246038" w14:textId="77777777" w:rsidR="001F77DD" w:rsidRDefault="00D97F9C">
      <w:pPr>
        <w:numPr>
          <w:ilvl w:val="1"/>
          <w:numId w:val="15"/>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Da propisi koji regulišu predmetnu materiju budu u skladu sa savremenim tehnologijama definisanim ICAO i EU standardima.</w:t>
      </w:r>
    </w:p>
    <w:p w14:paraId="708C2081" w14:textId="77777777" w:rsidR="001F77DD" w:rsidRDefault="00D97F9C">
      <w:pPr>
        <w:keepNext/>
        <w:numPr>
          <w:ilvl w:val="2"/>
          <w:numId w:val="20"/>
        </w:numPr>
        <w:spacing w:before="200" w:after="0" w:line="360" w:lineRule="auto"/>
        <w:outlineLvl w:val="2"/>
        <w:rPr>
          <w:rFonts w:ascii="Arial" w:eastAsia="Calibri" w:hAnsi="Arial" w:cs="Arial"/>
          <w:b/>
          <w:bCs/>
          <w:sz w:val="20"/>
          <w:szCs w:val="20"/>
          <w:lang w:val="sr-Latn-BA"/>
        </w:rPr>
      </w:pPr>
      <w:bookmarkStart w:id="7" w:name="_Toc153105951"/>
      <w:bookmarkStart w:id="8" w:name="_Toc213758714"/>
      <w:r>
        <w:rPr>
          <w:rFonts w:ascii="Arial" w:eastAsia="Calibri" w:hAnsi="Arial" w:cs="Arial"/>
          <w:b/>
          <w:bCs/>
          <w:sz w:val="20"/>
          <w:szCs w:val="20"/>
          <w:lang w:val="sr-Latn-BA"/>
        </w:rPr>
        <w:t>Poboljšanje sigurnosti svih identifikacionih dokumenata</w:t>
      </w:r>
      <w:bookmarkEnd w:id="7"/>
      <w:bookmarkEnd w:id="8"/>
    </w:p>
    <w:p w14:paraId="4AC7DEBD" w14:textId="77777777" w:rsidR="001F77DD" w:rsidRDefault="001F77DD">
      <w:pPr>
        <w:spacing w:after="0" w:line="360" w:lineRule="auto"/>
        <w:jc w:val="both"/>
        <w:rPr>
          <w:rFonts w:ascii="Arial" w:eastAsia="Calibri" w:hAnsi="Arial" w:cs="Arial"/>
          <w:sz w:val="20"/>
          <w:szCs w:val="20"/>
          <w:lang w:val="sr-Latn-BA"/>
        </w:rPr>
      </w:pPr>
    </w:p>
    <w:p w14:paraId="70B8C576"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 xml:space="preserve">Omogućiti dodavanje ili izmjenu zaštitnih elemenata postojećih dokumenata u određenom vremenskom periodu (definirani ugovorom), pri čemu je potrebno voditi računa o: </w:t>
      </w:r>
    </w:p>
    <w:p w14:paraId="7B7C20AC" w14:textId="77777777" w:rsidR="001F77DD" w:rsidRDefault="001F77DD">
      <w:pPr>
        <w:spacing w:after="0" w:line="360" w:lineRule="auto"/>
        <w:jc w:val="both"/>
        <w:rPr>
          <w:rFonts w:ascii="Arial" w:eastAsia="Calibri" w:hAnsi="Arial" w:cs="Arial"/>
          <w:sz w:val="20"/>
          <w:szCs w:val="20"/>
          <w:lang w:val="sr-Latn-BA"/>
        </w:rPr>
      </w:pPr>
    </w:p>
    <w:p w14:paraId="63FE5A66" w14:textId="77777777" w:rsidR="001F77DD" w:rsidRDefault="00D97F9C">
      <w:pPr>
        <w:numPr>
          <w:ilvl w:val="0"/>
          <w:numId w:val="15"/>
        </w:numPr>
        <w:spacing w:after="0" w:line="360" w:lineRule="auto"/>
        <w:contextualSpacing/>
        <w:rPr>
          <w:rFonts w:ascii="Arial" w:eastAsia="Calibri" w:hAnsi="Arial" w:cs="Arial"/>
          <w:sz w:val="20"/>
          <w:szCs w:val="20"/>
          <w:lang w:val="sr-Latn-BA"/>
        </w:rPr>
      </w:pPr>
      <w:r>
        <w:rPr>
          <w:rFonts w:ascii="Arial" w:eastAsia="Calibri" w:hAnsi="Arial" w:cs="Arial"/>
          <w:sz w:val="20"/>
          <w:szCs w:val="20"/>
          <w:lang w:val="sr-Latn-BA"/>
        </w:rPr>
        <w:t>ICAO preporukama za zaštitne elemente na dokumentima,</w:t>
      </w:r>
    </w:p>
    <w:p w14:paraId="2FDED4E5" w14:textId="77777777" w:rsidR="001F77DD" w:rsidRDefault="00D97F9C">
      <w:pPr>
        <w:numPr>
          <w:ilvl w:val="0"/>
          <w:numId w:val="15"/>
        </w:numPr>
        <w:spacing w:after="0" w:line="360" w:lineRule="auto"/>
        <w:contextualSpacing/>
        <w:rPr>
          <w:rFonts w:ascii="Arial" w:eastAsia="Calibri" w:hAnsi="Arial" w:cs="Arial"/>
          <w:sz w:val="20"/>
          <w:szCs w:val="20"/>
          <w:lang w:val="sr-Latn-BA"/>
        </w:rPr>
      </w:pPr>
      <w:r>
        <w:rPr>
          <w:rFonts w:ascii="Arial" w:eastAsia="Calibri" w:hAnsi="Arial" w:cs="Arial"/>
          <w:sz w:val="20"/>
          <w:szCs w:val="20"/>
          <w:lang w:val="sr-Latn-BA"/>
        </w:rPr>
        <w:t>ICAO preporukama za sigurnost dokumenata u zaštiti od falsifikovanja,</w:t>
      </w:r>
    </w:p>
    <w:p w14:paraId="129A26DE" w14:textId="77777777" w:rsidR="001F77DD" w:rsidRDefault="00D97F9C">
      <w:pPr>
        <w:numPr>
          <w:ilvl w:val="0"/>
          <w:numId w:val="15"/>
        </w:numPr>
        <w:spacing w:after="0" w:line="360" w:lineRule="auto"/>
        <w:contextualSpacing/>
        <w:rPr>
          <w:rFonts w:ascii="Arial" w:eastAsia="Calibri" w:hAnsi="Arial" w:cs="Arial"/>
          <w:sz w:val="20"/>
          <w:szCs w:val="20"/>
          <w:lang w:val="sr-Latn-BA"/>
        </w:rPr>
      </w:pPr>
      <w:r>
        <w:rPr>
          <w:rFonts w:ascii="Arial" w:eastAsia="Calibri" w:hAnsi="Arial" w:cs="Arial"/>
          <w:sz w:val="20"/>
          <w:szCs w:val="20"/>
          <w:lang w:val="sr-Latn-BA"/>
        </w:rPr>
        <w:t>ICAO preporukama za sigurnost kontrole i proizvodnje,</w:t>
      </w:r>
    </w:p>
    <w:p w14:paraId="3ED1C5AD" w14:textId="77777777" w:rsidR="001F77DD" w:rsidRDefault="00D97F9C">
      <w:pPr>
        <w:numPr>
          <w:ilvl w:val="0"/>
          <w:numId w:val="15"/>
        </w:numPr>
        <w:spacing w:after="0" w:line="360" w:lineRule="auto"/>
        <w:contextualSpacing/>
        <w:rPr>
          <w:rFonts w:ascii="Arial" w:eastAsia="Calibri" w:hAnsi="Arial" w:cs="Arial"/>
          <w:sz w:val="20"/>
          <w:szCs w:val="20"/>
          <w:lang w:val="sr-Latn-BA"/>
        </w:rPr>
      </w:pPr>
      <w:r>
        <w:rPr>
          <w:rFonts w:ascii="Arial" w:eastAsia="Calibri" w:hAnsi="Arial" w:cs="Arial"/>
          <w:sz w:val="20"/>
          <w:szCs w:val="20"/>
          <w:lang w:val="sr-Latn-BA"/>
        </w:rPr>
        <w:t xml:space="preserve">FRONTEX – periodični  izvještaji koji ukazuju na najčešće načine falsifikovanja dokumenata, kako bi se izborom dokumenata i opreme mogućnost falsifikovanja svela na minimum. </w:t>
      </w:r>
    </w:p>
    <w:p w14:paraId="59ED7729" w14:textId="77777777" w:rsidR="001F77DD" w:rsidRDefault="001F77DD">
      <w:pPr>
        <w:spacing w:after="0" w:line="360" w:lineRule="auto"/>
        <w:jc w:val="both"/>
        <w:rPr>
          <w:rFonts w:ascii="Arial" w:eastAsia="Calibri" w:hAnsi="Arial" w:cs="Arial"/>
          <w:sz w:val="20"/>
          <w:szCs w:val="20"/>
          <w:lang w:val="sr-Latn-BA"/>
        </w:rPr>
      </w:pPr>
    </w:p>
    <w:p w14:paraId="23B3D1A7" w14:textId="369DFCA2" w:rsidR="001F77DD" w:rsidRDefault="00D97F9C">
      <w:pPr>
        <w:pStyle w:val="ListParagraph"/>
        <w:numPr>
          <w:ilvl w:val="1"/>
          <w:numId w:val="20"/>
        </w:numPr>
        <w:spacing w:after="0" w:line="360" w:lineRule="auto"/>
        <w:jc w:val="both"/>
        <w:rPr>
          <w:rFonts w:ascii="Arial" w:hAnsi="Arial" w:cs="Arial"/>
          <w:b/>
          <w:sz w:val="20"/>
          <w:szCs w:val="20"/>
          <w:lang w:val="sr-Latn-BA"/>
        </w:rPr>
      </w:pPr>
      <w:r>
        <w:rPr>
          <w:rFonts w:ascii="Arial" w:hAnsi="Arial" w:cs="Arial"/>
          <w:b/>
          <w:sz w:val="20"/>
          <w:szCs w:val="20"/>
          <w:lang w:val="sr-Latn-BA"/>
        </w:rPr>
        <w:t>Centralne evidencije</w:t>
      </w:r>
    </w:p>
    <w:p w14:paraId="447EC065"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Razvoj centralnih evidencija u periodu 2027–2031. bit će usmjeren na raspoloživost, integritet, kvalitet, sigurnost, performanse i kontinuitet sistema koje Agencija tehnički održava.</w:t>
      </w:r>
    </w:p>
    <w:p w14:paraId="3F83EC55" w14:textId="0969B686"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Aktivnosti obuhvataju modernizaciju hardverske i softverske infrastrukture, visoku raspoloživost, backup, disaster recovery, elektronsko arhiviranje, monitoring, audit tragove, upravljanje privilegovanim pristupom, kontrolu integriteta i unapređenje aplikativnih rješenja.</w:t>
      </w:r>
    </w:p>
    <w:p w14:paraId="378BE256" w14:textId="77777777" w:rsidR="001F77DD" w:rsidRDefault="001F77DD">
      <w:pPr>
        <w:spacing w:after="0" w:line="360" w:lineRule="auto"/>
        <w:jc w:val="both"/>
        <w:rPr>
          <w:rFonts w:ascii="Arial" w:eastAsia="Calibri" w:hAnsi="Arial" w:cs="Arial"/>
          <w:sz w:val="20"/>
          <w:szCs w:val="20"/>
          <w:lang w:val="sr-Latn-BA"/>
        </w:rPr>
      </w:pPr>
    </w:p>
    <w:p w14:paraId="408B0365" w14:textId="7CA63FC6" w:rsidR="001F77DD" w:rsidRDefault="00D97F9C">
      <w:pPr>
        <w:pStyle w:val="ListParagraph"/>
        <w:keepNext/>
        <w:keepLines/>
        <w:numPr>
          <w:ilvl w:val="1"/>
          <w:numId w:val="26"/>
        </w:numPr>
        <w:spacing w:after="0" w:line="360" w:lineRule="auto"/>
        <w:jc w:val="both"/>
        <w:outlineLvl w:val="1"/>
        <w:rPr>
          <w:rFonts w:ascii="Arial" w:hAnsi="Arial" w:cs="Arial"/>
          <w:b/>
          <w:bCs/>
          <w:iCs/>
          <w:sz w:val="20"/>
          <w:szCs w:val="20"/>
          <w:lang w:val="sr-Latn-BA"/>
        </w:rPr>
      </w:pPr>
      <w:bookmarkStart w:id="9" w:name="_Toc213758706"/>
      <w:r>
        <w:rPr>
          <w:rFonts w:ascii="Arial" w:hAnsi="Arial" w:cs="Arial"/>
          <w:b/>
          <w:bCs/>
          <w:iCs/>
          <w:sz w:val="20"/>
          <w:szCs w:val="20"/>
          <w:lang w:val="sr-Latn-BA"/>
        </w:rPr>
        <w:t>Telekomunikaciona mrež</w:t>
      </w:r>
      <w:bookmarkEnd w:id="9"/>
      <w:r>
        <w:rPr>
          <w:rFonts w:ascii="Arial" w:hAnsi="Arial" w:cs="Arial"/>
          <w:b/>
          <w:bCs/>
          <w:iCs/>
          <w:sz w:val="20"/>
          <w:szCs w:val="20"/>
          <w:lang w:val="sr-Latn-BA"/>
        </w:rPr>
        <w:t>a</w:t>
      </w:r>
    </w:p>
    <w:p w14:paraId="2452B9A3"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Od uspostave telekomunikacionog sistema Agencije koji je baziran na radio-relejnom prenosu podataka, vrši se redovno održavanje i obnavljanje opreme u zavisnosti od raspoloživih budžetskih sredstava. Na ovaj način, Agencija osigurava visoku dostupnost sistema za potrebe prenosa podataka za organe bezbjednosti u Bosni i Hercegovini.</w:t>
      </w:r>
      <w:r>
        <w:rPr>
          <w:rFonts w:ascii="Arial" w:eastAsia="Calibri" w:hAnsi="Arial" w:cs="Arial"/>
          <w:lang w:val="sr-Latn-BA"/>
        </w:rPr>
        <w:t xml:space="preserve"> </w:t>
      </w:r>
      <w:r>
        <w:rPr>
          <w:rFonts w:ascii="Arial" w:eastAsia="Calibri" w:hAnsi="Arial" w:cs="Arial"/>
          <w:sz w:val="20"/>
          <w:szCs w:val="20"/>
          <w:lang w:val="sr-Latn-BA"/>
        </w:rPr>
        <w:t>Vijeće ministara Bosne i Hercegovine je u julu mjesecu 2024. godine donijelo Odluku o utvrđivanju namjene dijela sredstava uplaćenih od dozvola za korištenje radiofrekventnog spektra za pružanje usluga putem mobilnih pristupnih sistema kojom se sredstva u iznosu od 2.000.000,00 KM dodjeljuju Agenciji za identifikacione dokumente, evidenciju i razmjenu podataka Bosne i Hercegovine. Ova sredstva su namijenjena za integraciju SDH mreže i optičke mreže Elektroprijenosa Bosne i Hercegovine, a početak ovog projekta započet je u 2025. godini.</w:t>
      </w:r>
    </w:p>
    <w:p w14:paraId="14A85D56"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Kratkoročni cilj vezan za radio-relejnu mrežu je zamjena pristupne opreme zbog nove raspodjele radio-frekvencijskog spektra i uvođenja 5G mreža u Bosni i Hercegovini. Ovo je neophodan korak zbog preklapanja frekventnog opsega opreme Agencije sa opremom 5G pružalaca usluga mobilne telefonije.</w:t>
      </w:r>
    </w:p>
    <w:p w14:paraId="1A116BC9" w14:textId="77777777" w:rsidR="001F77DD" w:rsidRDefault="001F77DD">
      <w:pPr>
        <w:spacing w:after="0" w:line="360" w:lineRule="auto"/>
        <w:jc w:val="both"/>
        <w:rPr>
          <w:rFonts w:ascii="Arial" w:eastAsia="Calibri" w:hAnsi="Arial" w:cs="Arial"/>
          <w:sz w:val="20"/>
          <w:szCs w:val="20"/>
          <w:lang w:val="sr-Latn-BA"/>
        </w:rPr>
      </w:pPr>
    </w:p>
    <w:p w14:paraId="2960B2B2"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Agencija je u 2024. godini napravila značajan korak ka unapređenju svoje telekomunikacione infrastrukture potpisivanjem Sporazuma sa Elektroprijenosom BiH. Ovim sporazumom definisano je korištenje dva slobodna optička vlakna za potrebe telekomunikacionog sistema Agencije, što predstavlja stratešku nadogradnju postojeće radio relejne mreže.</w:t>
      </w:r>
    </w:p>
    <w:p w14:paraId="7DB424BC" w14:textId="77777777" w:rsidR="001F77DD" w:rsidRDefault="001F77DD">
      <w:pPr>
        <w:spacing w:after="0" w:line="360" w:lineRule="auto"/>
        <w:jc w:val="both"/>
        <w:rPr>
          <w:rFonts w:ascii="Arial" w:eastAsia="Calibri" w:hAnsi="Arial" w:cs="Arial"/>
          <w:sz w:val="20"/>
          <w:szCs w:val="20"/>
          <w:lang w:val="sr-Latn-BA"/>
        </w:rPr>
      </w:pPr>
    </w:p>
    <w:p w14:paraId="02F24AD8"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Prelazak na optičku infrastrukturu donosi višestruke prednosti:</w:t>
      </w:r>
    </w:p>
    <w:p w14:paraId="242DEE67" w14:textId="77777777" w:rsidR="001F77DD" w:rsidRDefault="00D97F9C">
      <w:pPr>
        <w:numPr>
          <w:ilvl w:val="0"/>
          <w:numId w:val="9"/>
        </w:num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Povećanu sigurnost: Optička vlakna pružaju znatno veću zaštitu od presretanja podataka u odnosu na radio relejne sisteme.</w:t>
      </w:r>
    </w:p>
    <w:p w14:paraId="111FA629" w14:textId="77777777" w:rsidR="001F77DD" w:rsidRDefault="00D97F9C">
      <w:pPr>
        <w:numPr>
          <w:ilvl w:val="0"/>
          <w:numId w:val="9"/>
        </w:num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Veću protočnost i brzinu: Optička infrastruktura omogućava značajno veće brzine prenosa podataka i veći kapacitet, što je ključno za buduće potrebe i projekte.</w:t>
      </w:r>
    </w:p>
    <w:p w14:paraId="06363AFB" w14:textId="77777777" w:rsidR="001F77DD" w:rsidRDefault="00D97F9C">
      <w:pPr>
        <w:numPr>
          <w:ilvl w:val="0"/>
          <w:numId w:val="9"/>
        </w:num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Poboljšanu pouzdanost: Optička vlakna su manje podložna smetnjama i kvarovima, što rezultira stabilnijim i pouzdanijim sistemom.</w:t>
      </w:r>
    </w:p>
    <w:p w14:paraId="6981589E" w14:textId="77777777" w:rsidR="001F77DD" w:rsidRDefault="00D97F9C">
      <w:pPr>
        <w:numPr>
          <w:ilvl w:val="0"/>
          <w:numId w:val="9"/>
        </w:num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Skalabilnost: Nova infrastruktura može lako podržati rastuće potrebe za prenosom podataka, osiguravajući dugoročnu održivost sistema.</w:t>
      </w:r>
    </w:p>
    <w:p w14:paraId="22319066"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 xml:space="preserve">Implementacija ovog projekta je kompleksna i realizovaće se u nekoliko faza. Potrebno je osigurati adekvatna novčana sredstva za nabavku neophodne aktivne i pasivne opreme te izvršiti uvezivanje lokacija krajnjih korisnika. </w:t>
      </w:r>
    </w:p>
    <w:p w14:paraId="627D5B37"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Ova investicija će rezultirati značajno većim kapacitetima prenosa podataka na cjelokupnom sistemu, jednostavnijim održavanjem, te pouzdanijim i sigurnijim sistemom.</w:t>
      </w:r>
    </w:p>
    <w:p w14:paraId="7E2135BA"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 xml:space="preserve">Ovom nadogradnjom, Agencija će biti u mogućnosti da u potpunosti zadovolji potrebe svih postojećih korisnika, kako za trenutne tako i za buduće projekte. Ova inicijativa je u skladu sa europskim standardima za digitalnu infrastrukturu i predstavlja ključni korak u modernizaciji mreže povećat će se kapacitet, </w:t>
      </w:r>
      <w:r>
        <w:rPr>
          <w:rFonts w:ascii="Arial" w:eastAsia="Calibri" w:hAnsi="Arial" w:cs="Arial"/>
          <w:sz w:val="20"/>
          <w:szCs w:val="20"/>
          <w:lang w:val="sr-Latn-BA"/>
        </w:rPr>
        <w:lastRenderedPageBreak/>
        <w:t>sigurnost, raspoloživost i otpornost komunikacione infrastrukture potrebne za izvršavanje zakonskih funkcija Agencije i sigurno povezivanje ovlaštenih korisnika Sistema IDDEEA.</w:t>
      </w:r>
    </w:p>
    <w:p w14:paraId="5B171E39"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Razvoj će obuhvatati optičke i druge odgovarajuće komunikacione pravce, redundanciju, segmentaciju, kriptografsku zaštitu, monitoring, rezervne pravce, upravljanje kapacitetima i kontinuirano zanavljanje mrežne opreme.</w:t>
      </w:r>
    </w:p>
    <w:p w14:paraId="20EF6213" w14:textId="77777777" w:rsidR="001F77DD" w:rsidRDefault="001F77DD">
      <w:pPr>
        <w:spacing w:after="0" w:line="360" w:lineRule="auto"/>
        <w:jc w:val="both"/>
        <w:rPr>
          <w:rFonts w:ascii="Arial" w:eastAsia="Calibri" w:hAnsi="Arial" w:cs="Arial"/>
          <w:sz w:val="20"/>
          <w:szCs w:val="20"/>
          <w:lang w:val="sr-Latn-BA"/>
        </w:rPr>
      </w:pPr>
    </w:p>
    <w:p w14:paraId="1A9245ED" w14:textId="77777777" w:rsidR="001F77DD" w:rsidRDefault="001F77DD">
      <w:pPr>
        <w:spacing w:after="0" w:line="360" w:lineRule="auto"/>
        <w:jc w:val="both"/>
        <w:rPr>
          <w:rFonts w:ascii="Arial" w:eastAsia="Calibri" w:hAnsi="Arial" w:cs="Arial"/>
          <w:sz w:val="20"/>
          <w:szCs w:val="20"/>
          <w:lang w:val="sr-Latn-BA"/>
        </w:rPr>
      </w:pPr>
    </w:p>
    <w:p w14:paraId="78915276"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Jačanje kapaciteta TK sistema ostvariće se kroz tri aktivnosti:</w:t>
      </w:r>
    </w:p>
    <w:p w14:paraId="7A157000" w14:textId="77777777" w:rsidR="001F77DD" w:rsidRDefault="00D97F9C">
      <w:pPr>
        <w:numPr>
          <w:ilvl w:val="0"/>
          <w:numId w:val="4"/>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 xml:space="preserve">Optimizaciju održavanja TK sistema, što ima za cilj da se izvrši analiza i praćenje troškova optimalnog modela održavanja operme. Na ovaj način bi se izbjeglo eventulno skupo održavanje u narednom strateškom periodu te bi ovo postala kontinuirana aktivnost. </w:t>
      </w:r>
    </w:p>
    <w:p w14:paraId="2376A903" w14:textId="77777777" w:rsidR="001F77DD" w:rsidRDefault="00D97F9C">
      <w:pPr>
        <w:numPr>
          <w:ilvl w:val="0"/>
          <w:numId w:val="4"/>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 xml:space="preserve">Povećanje sigurnosti TK sistema bi rezultiralo: izrađenom sigurnosnom analizom i analizom rizika, nabavljenom opremom te izrađenim internim podzakonskim aktima kojima bi se regulisao način korištenja opreme, softvera i sugrnosnih procedura. </w:t>
      </w:r>
    </w:p>
    <w:p w14:paraId="1A3E990E" w14:textId="77777777" w:rsidR="001F77DD" w:rsidRDefault="00D97F9C">
      <w:pPr>
        <w:numPr>
          <w:ilvl w:val="0"/>
          <w:numId w:val="4"/>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Nastavak zamjene postojeće TK opreme u skladu sa usvojenom Strategijom zamjene opreme (zanavljane opreme u dozvoljenim granicama za pouzdanu eksploataciju).</w:t>
      </w:r>
    </w:p>
    <w:p w14:paraId="6E827411" w14:textId="77777777" w:rsidR="001F77DD" w:rsidRDefault="001F77DD">
      <w:pPr>
        <w:spacing w:after="0" w:line="360" w:lineRule="auto"/>
        <w:jc w:val="both"/>
        <w:rPr>
          <w:rFonts w:ascii="Arial" w:eastAsia="Calibri" w:hAnsi="Arial" w:cs="Arial"/>
          <w:sz w:val="20"/>
          <w:szCs w:val="20"/>
          <w:lang w:val="sr-Latn-BA"/>
        </w:rPr>
      </w:pPr>
    </w:p>
    <w:p w14:paraId="1DABA30B"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Realizacijom ovog projekta, Agencija ne samo da unapređuje svoje tehničke kapacitete, već i postavlja temelje za buduće digitalne inovacije i usluge, osiguravajući da BiH ostane u korak sa najnovijim tehnološkim trendovima u oblasti sigurne i efikasne razmjene podataka.</w:t>
      </w:r>
    </w:p>
    <w:p w14:paraId="4CE94E4E" w14:textId="77777777" w:rsidR="001F77DD" w:rsidRDefault="001F77DD">
      <w:pPr>
        <w:spacing w:after="0" w:line="360" w:lineRule="auto"/>
        <w:jc w:val="both"/>
        <w:rPr>
          <w:rFonts w:ascii="Arial" w:eastAsia="Calibri" w:hAnsi="Arial" w:cs="Arial"/>
          <w:sz w:val="20"/>
          <w:szCs w:val="20"/>
          <w:lang w:val="sr-Latn-BA"/>
        </w:rPr>
      </w:pPr>
    </w:p>
    <w:p w14:paraId="24A92232" w14:textId="77777777" w:rsidR="001F77DD" w:rsidRDefault="00D97F9C">
      <w:pPr>
        <w:keepNext/>
        <w:keepLines/>
        <w:spacing w:after="0" w:line="360" w:lineRule="auto"/>
        <w:jc w:val="both"/>
        <w:outlineLvl w:val="1"/>
        <w:rPr>
          <w:rFonts w:ascii="Arial" w:eastAsia="Calibri" w:hAnsi="Arial" w:cs="Arial"/>
          <w:bCs/>
          <w:iCs/>
          <w:sz w:val="20"/>
          <w:szCs w:val="20"/>
          <w:lang w:val="sr-Latn-BA"/>
        </w:rPr>
      </w:pPr>
      <w:bookmarkStart w:id="10" w:name="_Toc213758703"/>
      <w:r>
        <w:rPr>
          <w:rFonts w:ascii="Arial" w:eastAsia="Calibri" w:hAnsi="Arial" w:cs="Arial"/>
          <w:bCs/>
          <w:iCs/>
          <w:sz w:val="20"/>
          <w:szCs w:val="20"/>
          <w:lang w:val="sr-Latn-BA"/>
        </w:rPr>
        <w:t>Objavljivanje otvorenih podataka</w:t>
      </w:r>
      <w:bookmarkEnd w:id="10"/>
    </w:p>
    <w:p w14:paraId="4A6CDAB1" w14:textId="77777777" w:rsidR="001F77DD" w:rsidRDefault="001F77DD">
      <w:pPr>
        <w:spacing w:after="0" w:line="360" w:lineRule="auto"/>
        <w:jc w:val="both"/>
        <w:rPr>
          <w:rFonts w:ascii="Arial" w:eastAsia="Calibri" w:hAnsi="Arial" w:cs="Arial"/>
          <w:bCs/>
          <w:iCs/>
          <w:sz w:val="20"/>
          <w:szCs w:val="20"/>
          <w:lang w:val="sr-Latn-BA"/>
        </w:rPr>
      </w:pPr>
    </w:p>
    <w:p w14:paraId="42FDE1F8" w14:textId="6495305A" w:rsidR="001F77DD" w:rsidRDefault="00D97F9C">
      <w:pPr>
        <w:spacing w:after="0" w:line="360" w:lineRule="auto"/>
        <w:jc w:val="both"/>
        <w:rPr>
          <w:rFonts w:ascii="Arial" w:eastAsia="Calibri" w:hAnsi="Arial" w:cs="Arial"/>
          <w:bCs/>
          <w:iCs/>
          <w:sz w:val="20"/>
          <w:szCs w:val="20"/>
          <w:lang w:val="sr-Latn-BA"/>
        </w:rPr>
      </w:pPr>
      <w:r>
        <w:rPr>
          <w:rFonts w:ascii="Arial" w:eastAsia="Calibri" w:hAnsi="Arial" w:cs="Arial"/>
          <w:bCs/>
          <w:iCs/>
          <w:sz w:val="20"/>
          <w:szCs w:val="20"/>
          <w:lang w:val="sr-Latn-BA"/>
        </w:rPr>
        <w:t>Agencija će nastaviti razvoj portala otvorenih podataka objavljivanjem statističkih, agregiranih, anonimiziranih i drugih podataka iz svog djelokruga koji se prema važećim propisima mogu javno objaviti.</w:t>
      </w:r>
    </w:p>
    <w:p w14:paraId="20D2B83E" w14:textId="77777777" w:rsidR="001F77DD" w:rsidRDefault="00D97F9C">
      <w:pPr>
        <w:spacing w:after="0" w:line="360" w:lineRule="auto"/>
        <w:jc w:val="both"/>
        <w:rPr>
          <w:rFonts w:ascii="Arial" w:eastAsia="Calibri" w:hAnsi="Arial" w:cs="Arial"/>
          <w:bCs/>
          <w:iCs/>
          <w:sz w:val="20"/>
          <w:szCs w:val="20"/>
          <w:lang w:val="sr-Latn-BA"/>
        </w:rPr>
      </w:pPr>
      <w:r>
        <w:rPr>
          <w:rFonts w:ascii="Arial" w:eastAsia="Calibri" w:hAnsi="Arial" w:cs="Arial"/>
          <w:bCs/>
          <w:iCs/>
          <w:sz w:val="20"/>
          <w:szCs w:val="20"/>
          <w:lang w:val="sr-Latn-BA"/>
        </w:rPr>
        <w:t>Prije objave svakog skupa podataka provodi se odgovarajuća provjera sa aspekta zaštite ličnih podataka, sigurnosti, povjerljivosti i drugih zakonskih ograničenja.</w:t>
      </w:r>
    </w:p>
    <w:p w14:paraId="4F588046" w14:textId="4EF2F17F" w:rsidR="001F77DD" w:rsidRDefault="00D97F9C">
      <w:pPr>
        <w:spacing w:after="0" w:line="360" w:lineRule="auto"/>
        <w:jc w:val="both"/>
        <w:rPr>
          <w:rFonts w:ascii="Arial" w:eastAsia="Calibri" w:hAnsi="Arial" w:cs="Arial"/>
          <w:sz w:val="20"/>
          <w:szCs w:val="20"/>
          <w:lang w:val="sr-Latn-BA"/>
        </w:rPr>
      </w:pPr>
      <w:r>
        <w:rPr>
          <w:rFonts w:ascii="Arial" w:eastAsia="Calibri" w:hAnsi="Arial" w:cs="Arial"/>
          <w:bCs/>
          <w:iCs/>
          <w:sz w:val="20"/>
          <w:szCs w:val="20"/>
          <w:lang w:val="sr-Latn-BA"/>
        </w:rPr>
        <w:t>Cilj nije nekontrolisano povećanje količine javno dostupnih podataka, već povećanje kvaliteta, ažurnosti, mašinske čitljivosti i ponovne upotrebljivosti zakonito objavljivih podataka.</w:t>
      </w:r>
    </w:p>
    <w:p w14:paraId="65A8C2C3" w14:textId="77777777" w:rsidR="001F77DD" w:rsidRDefault="001F77DD">
      <w:pPr>
        <w:spacing w:after="0" w:line="360" w:lineRule="auto"/>
        <w:jc w:val="both"/>
        <w:rPr>
          <w:rFonts w:ascii="Arial" w:eastAsia="Calibri" w:hAnsi="Arial" w:cs="Arial"/>
          <w:b/>
          <w:sz w:val="20"/>
          <w:szCs w:val="20"/>
          <w:lang w:val="sr-Latn-BA"/>
        </w:rPr>
      </w:pPr>
    </w:p>
    <w:p w14:paraId="2566482D" w14:textId="5CDFAA30" w:rsidR="001F77DD" w:rsidRDefault="00D97F9C">
      <w:pPr>
        <w:spacing w:after="0" w:line="360" w:lineRule="auto"/>
        <w:jc w:val="both"/>
        <w:rPr>
          <w:rFonts w:ascii="Arial" w:eastAsia="Calibri" w:hAnsi="Arial" w:cs="Arial"/>
          <w:b/>
          <w:sz w:val="20"/>
          <w:szCs w:val="20"/>
          <w:lang w:val="sr-Latn-BA"/>
        </w:rPr>
      </w:pPr>
      <w:r>
        <w:rPr>
          <w:rFonts w:ascii="Arial" w:eastAsia="Calibri" w:hAnsi="Arial" w:cs="Arial"/>
          <w:b/>
          <w:sz w:val="20"/>
          <w:szCs w:val="20"/>
          <w:lang w:val="sr-Latn-BA"/>
        </w:rPr>
        <w:t>3.5. Razmjena podataka i interoperabilnost</w:t>
      </w:r>
    </w:p>
    <w:p w14:paraId="5FEB9F97"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Razvoj razmjene podataka bit će usmjeren na sigurne, standardizovane i kontrolisane elektronske integracije između Sistema IDDEEA i zakonom ovlaštenih korisnika.</w:t>
      </w:r>
    </w:p>
    <w:p w14:paraId="6D565B5D"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Prioriteti su razvoj eDataXChange platforme, standardizovanih API-ja, autentifikacije i autorizacije, enkripcije, evidencije transakcija, upravljanja pristupnim pravima, monitoringa dostupnosti i integriteta te tehničke dokumentacije za integraciju.</w:t>
      </w:r>
    </w:p>
    <w:p w14:paraId="113DD9D2" w14:textId="0088AF1B"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lastRenderedPageBreak/>
        <w:t>Pravo pristupa podacima uvijek se utvrđuje na osnovu odgovarajućeg pravnog osnova, nezavisno od tehničke mogućnosti pristupa.</w:t>
      </w:r>
    </w:p>
    <w:p w14:paraId="441AB3FC" w14:textId="77777777" w:rsidR="001F77DD" w:rsidRDefault="001F77DD">
      <w:pPr>
        <w:spacing w:after="0" w:line="360" w:lineRule="auto"/>
        <w:jc w:val="both"/>
        <w:rPr>
          <w:rFonts w:ascii="Arial" w:eastAsia="Calibri" w:hAnsi="Arial" w:cs="Arial"/>
          <w:b/>
          <w:sz w:val="20"/>
          <w:szCs w:val="20"/>
          <w:lang w:val="sr-Latn-BA"/>
        </w:rPr>
      </w:pPr>
    </w:p>
    <w:p w14:paraId="3BDDDCA5" w14:textId="2FF77A47" w:rsidR="001F77DD" w:rsidRDefault="00D97F9C">
      <w:pPr>
        <w:spacing w:after="0" w:line="360" w:lineRule="auto"/>
        <w:jc w:val="both"/>
        <w:rPr>
          <w:rFonts w:ascii="Arial" w:eastAsia="Calibri" w:hAnsi="Arial" w:cs="Arial"/>
          <w:b/>
          <w:sz w:val="20"/>
          <w:szCs w:val="20"/>
          <w:lang w:val="sr-Latn-BA"/>
        </w:rPr>
      </w:pPr>
      <w:r>
        <w:rPr>
          <w:rFonts w:ascii="Arial" w:eastAsia="Calibri" w:hAnsi="Arial" w:cs="Arial"/>
          <w:b/>
          <w:sz w:val="20"/>
          <w:szCs w:val="20"/>
          <w:lang w:val="sr-Latn-BA"/>
        </w:rPr>
        <w:t>3.6. Sistemi IDDEEA i digitalni identitet</w:t>
      </w:r>
    </w:p>
    <w:p w14:paraId="49668074"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Razvoj Sistema IDDEEA u periodu 2027–2031. bit će usmjeren na unapređenje sigurnog pristupa centralnim evidencijama i servisima Agencije, autentifikacije i autorizacije korisnika, web i mobilnih aplikacija, upravljanja digitalnim identitetom i drugih funkcionalnosti u skladu sa Uputstvom o tehničkim i operativnim pravilima pristupa sistemima IDDEEA.</w:t>
      </w:r>
    </w:p>
    <w:p w14:paraId="7C5ACC29"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Digitalni identitet u ovom poglavlju koristi se isključivo u značenju utvrđenom Uputstvom 31/25.</w:t>
      </w:r>
    </w:p>
    <w:p w14:paraId="425741EC"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IDDEEA će pratiti razvoj Evropskog okvira digitalnog identiteta i EUDI Wallet ekosistema i razvijati tehničku spremnost svojih sistema za buduću interoperabilnost kada za takvo povezivanje budu ispunjene odgovarajuće pravne, institucionalne i tehničke pretpostavke.</w:t>
      </w:r>
    </w:p>
    <w:p w14:paraId="2888CC7C"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Razvoj tehničke interoperabilnosti sa evropskim rješenjima ne predstavlja sam po sebi uspostavljanje nacionalnog EUDI Walleta niti pravni osnov za preuzimanje funkcija koje važeći propisi nisu povjerili Agenciji.</w:t>
      </w:r>
    </w:p>
    <w:p w14:paraId="23196B0B" w14:textId="77777777" w:rsidR="001F77DD" w:rsidRDefault="00D97F9C">
      <w:pPr>
        <w:spacing w:after="0" w:line="360" w:lineRule="auto"/>
        <w:jc w:val="both"/>
        <w:rPr>
          <w:rFonts w:ascii="Arial" w:eastAsia="Calibri" w:hAnsi="Arial" w:cs="Arial"/>
          <w:b/>
          <w:sz w:val="20"/>
          <w:szCs w:val="20"/>
          <w:lang w:val="sr-Latn-BA"/>
        </w:rPr>
      </w:pPr>
      <w:r>
        <w:rPr>
          <w:rFonts w:ascii="Arial" w:eastAsia="Calibri" w:hAnsi="Arial" w:cs="Arial"/>
          <w:b/>
          <w:sz w:val="20"/>
          <w:szCs w:val="20"/>
          <w:lang w:val="sr-Latn-BA"/>
        </w:rPr>
        <w:t>Podrška elektronskim uslugama nadležnih organa</w:t>
      </w:r>
    </w:p>
    <w:p w14:paraId="212C4F1A"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IDDEEA može, u okviru svojih zakonskih nadležnosti, osiguravati identitetske, podatkovne, certifikacijske, komunikacijske, interoperabilne, aplikativne i druge tehničke komponente koje nadležni organ koristi pri pružanju vlastite elektronske usluge.</w:t>
      </w:r>
    </w:p>
    <w:p w14:paraId="16B26073" w14:textId="70CE0405"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U takvim slučajevima IDDEEA ne postaje nosilac materijalne nadležnosti za uslugu drugog organa. Nadležni organ ostaje odgovoran za sadržaj, zakonitost i vođenje vlastitog postupka, dok IDDEEA odgovara za funkcionalnosti koje pruža u okviru svog zakonskog djelokruga.</w:t>
      </w:r>
    </w:p>
    <w:p w14:paraId="2A7D2FAD" w14:textId="7EFDF588" w:rsidR="001F77DD" w:rsidRDefault="001F77DD">
      <w:pPr>
        <w:spacing w:after="0" w:line="360" w:lineRule="auto"/>
        <w:jc w:val="both"/>
        <w:rPr>
          <w:rFonts w:ascii="Arial" w:eastAsia="Calibri" w:hAnsi="Arial" w:cs="Arial"/>
          <w:sz w:val="20"/>
          <w:szCs w:val="20"/>
          <w:lang w:val="sr-Latn-BA"/>
        </w:rPr>
      </w:pPr>
    </w:p>
    <w:p w14:paraId="0FC5C1E6" w14:textId="7091D99D" w:rsidR="001F77DD" w:rsidRDefault="00D97F9C">
      <w:pPr>
        <w:pStyle w:val="ListParagraph"/>
        <w:numPr>
          <w:ilvl w:val="1"/>
          <w:numId w:val="21"/>
        </w:numPr>
        <w:spacing w:after="0" w:line="360" w:lineRule="auto"/>
        <w:jc w:val="both"/>
        <w:rPr>
          <w:rFonts w:ascii="Arial" w:eastAsia="Times New Roman" w:hAnsi="Arial" w:cs="Arial"/>
          <w:b/>
          <w:sz w:val="20"/>
          <w:szCs w:val="20"/>
          <w:lang w:val="en-US" w:eastAsia="bs-Latn-BA"/>
        </w:rPr>
      </w:pPr>
      <w:r>
        <w:rPr>
          <w:rFonts w:ascii="Arial" w:eastAsia="Times New Roman" w:hAnsi="Arial" w:cs="Arial"/>
          <w:b/>
          <w:sz w:val="20"/>
          <w:szCs w:val="20"/>
          <w:lang w:eastAsia="bs-Latn-BA"/>
        </w:rPr>
        <w:t xml:space="preserve"> Elektronski potpis, elektronski certifikati i PKI infrastruktura</w:t>
      </w:r>
      <w:r>
        <w:rPr>
          <w:rFonts w:ascii="Arial" w:hAnsi="Arial" w:cs="Arial"/>
          <w:b/>
          <w:sz w:val="20"/>
          <w:szCs w:val="20"/>
          <w:lang w:val="sr-Latn-BA"/>
        </w:rPr>
        <w:t xml:space="preserve"> </w:t>
      </w:r>
    </w:p>
    <w:p w14:paraId="30AC408A"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IDDEEA je uspostavila tehničke i organizacione kapacitete za obavljanje poslova ovjerioca u skladu sa važećim pravnim okvirom i razvila infrastrukturu za izdavanje i korištenje elektronskih certifikata i udaljeno digitalno potpisivanje.</w:t>
      </w:r>
    </w:p>
    <w:p w14:paraId="5B34B982"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U periodu 2027–2031. razvoj će biti usmjeren na sigurnost, raspoloživost i skalabilnost PKI infrastrukture, upravljanje životnim ciklusom certifikata, unapređenje udaljenog potpisivanja, integraciju sa Sistemima IDDEEA i informacionim sistemima drugih subjekata kada za integraciju postoji pravni osnov, razvoj registracionih funkcija, kontinuitet rada i praćenje razvoja evropskih standarda.</w:t>
      </w:r>
    </w:p>
    <w:p w14:paraId="10BDA618"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Korištenje elektronskog potpisa IDDEEA-e u informacionom sistemu druge institucije ne znači da IDDEEA preuzima nadležnost za uslugu ili postupak te institucije.</w:t>
      </w:r>
    </w:p>
    <w:p w14:paraId="00C9C694" w14:textId="1CE1ECC9" w:rsidR="001F77DD" w:rsidRDefault="001F77DD">
      <w:pPr>
        <w:spacing w:after="0" w:line="360" w:lineRule="auto"/>
        <w:jc w:val="both"/>
        <w:rPr>
          <w:rFonts w:ascii="Arial" w:eastAsia="Calibri" w:hAnsi="Arial" w:cs="Arial"/>
          <w:sz w:val="20"/>
          <w:szCs w:val="20"/>
          <w:lang w:val="sr-Latn-BA"/>
        </w:rPr>
      </w:pPr>
    </w:p>
    <w:p w14:paraId="6B344EA2" w14:textId="30B1D303" w:rsidR="001F77DD" w:rsidRDefault="00D97F9C">
      <w:pPr>
        <w:pStyle w:val="ListParagraph"/>
        <w:keepNext/>
        <w:keepLines/>
        <w:numPr>
          <w:ilvl w:val="1"/>
          <w:numId w:val="21"/>
        </w:numPr>
        <w:spacing w:before="200" w:after="0" w:line="360" w:lineRule="auto"/>
        <w:outlineLvl w:val="2"/>
        <w:rPr>
          <w:rFonts w:ascii="Arial" w:hAnsi="Arial" w:cs="Arial"/>
          <w:b/>
          <w:bCs/>
          <w:sz w:val="20"/>
          <w:szCs w:val="20"/>
          <w:lang w:val="sr-Latn-BA"/>
        </w:rPr>
      </w:pPr>
      <w:r>
        <w:rPr>
          <w:rFonts w:ascii="Arial" w:hAnsi="Arial" w:cs="Arial"/>
          <w:b/>
          <w:bCs/>
          <w:sz w:val="20"/>
          <w:szCs w:val="20"/>
          <w:lang w:val="sr-Latn-BA"/>
        </w:rPr>
        <w:t>Informaciona i cyber sigurnost</w:t>
      </w:r>
    </w:p>
    <w:p w14:paraId="7A1047BF"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Razvoj informacione i cyber sigurnosti usmjeren je na zaštitu povjerljivosti, integriteta, autentičnosti i raspoloživosti Sistema IDDEEA.</w:t>
      </w:r>
    </w:p>
    <w:p w14:paraId="5D9D5F93"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lastRenderedPageBreak/>
        <w:t>Prioriteti uključuju centralizovani sigurnosni monitoring, SIEM, EDR/XDR gdje je primjenjivo, IAM, PAM, MFA, upravljanje ranjivostima, sigurnosno testiranje, upravljanje incidentima, forenzičke kapacitete, sigurnost mreže, zaštitu backup sistema, upravljanje dobavljačkim rizikom i kontinuiranu edukaciju zaposlenih.</w:t>
      </w:r>
    </w:p>
    <w:p w14:paraId="79686789" w14:textId="77777777" w:rsidR="001F77DD" w:rsidRDefault="00D97F9C">
      <w:pPr>
        <w:spacing w:after="0" w:line="360" w:lineRule="auto"/>
        <w:jc w:val="both"/>
        <w:rPr>
          <w:rFonts w:ascii="Arial" w:eastAsia="Calibri" w:hAnsi="Arial" w:cs="Arial"/>
          <w:sz w:val="20"/>
          <w:szCs w:val="20"/>
          <w:lang w:val="sr-Latn-BA"/>
        </w:rPr>
      </w:pPr>
      <w:bookmarkStart w:id="11" w:name="_Toc153105955"/>
      <w:bookmarkStart w:id="12" w:name="_Toc213758719"/>
      <w:r>
        <w:rPr>
          <w:rFonts w:ascii="Arial" w:eastAsia="Calibri" w:hAnsi="Arial" w:cs="Arial"/>
          <w:sz w:val="20"/>
          <w:szCs w:val="20"/>
          <w:lang w:val="sr-Latn-BA"/>
        </w:rPr>
        <w:t>Razvoj interne funkcije za upravljanje cyber incidentima</w:t>
      </w:r>
    </w:p>
    <w:p w14:paraId="0AEF8527"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Agencija će razvijati interne organizacione, kadrovske i tehničke kapacitete za prevenciju, detekciju, analizu, odgovor i oporavak od cyber incidenata koji pogađaju Sisteme IDDEEA.</w:t>
      </w:r>
    </w:p>
    <w:p w14:paraId="2F293AE5" w14:textId="7D42E8F2"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Interna funkcija ima institucionalni karakter i odnosi se na sisteme i infrastrukturu iz djelokruga Agencije. Ona ne predstavlja uspostavljanje nacionalnog CERT-a niti preuzimanje zakonom utvrđenih nadležnosti drugih institucija.</w:t>
      </w:r>
    </w:p>
    <w:p w14:paraId="5BC52979"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Agencija će sarađivati sa nadležnim CERT/CSIRT strukturama i drugim nadležnim organima u skladu sa važećim propisima.</w:t>
      </w:r>
      <w:bookmarkEnd w:id="11"/>
      <w:bookmarkEnd w:id="12"/>
    </w:p>
    <w:p w14:paraId="22459744" w14:textId="74EB4FE5" w:rsidR="001F77DD" w:rsidRDefault="001F77DD">
      <w:pPr>
        <w:spacing w:after="0" w:line="360" w:lineRule="auto"/>
        <w:jc w:val="both"/>
        <w:rPr>
          <w:rFonts w:ascii="Arial" w:eastAsia="Calibri" w:hAnsi="Arial" w:cs="Arial"/>
          <w:sz w:val="20"/>
          <w:szCs w:val="20"/>
          <w:lang w:val="sr-Latn-BA"/>
        </w:rPr>
      </w:pPr>
    </w:p>
    <w:p w14:paraId="0264F3B0" w14:textId="10AF9DBB" w:rsidR="001F77DD" w:rsidRDefault="00D97F9C">
      <w:pPr>
        <w:pStyle w:val="ListParagraph"/>
        <w:numPr>
          <w:ilvl w:val="1"/>
          <w:numId w:val="21"/>
        </w:numPr>
        <w:spacing w:after="0" w:line="360" w:lineRule="auto"/>
        <w:jc w:val="both"/>
        <w:rPr>
          <w:rFonts w:ascii="Arial" w:hAnsi="Arial" w:cs="Arial"/>
          <w:b/>
          <w:sz w:val="20"/>
          <w:szCs w:val="20"/>
          <w:lang w:val="sr-Latn-BA"/>
        </w:rPr>
      </w:pPr>
      <w:r>
        <w:rPr>
          <w:rFonts w:ascii="Arial" w:hAnsi="Arial" w:cs="Arial"/>
          <w:b/>
          <w:sz w:val="20"/>
          <w:szCs w:val="20"/>
          <w:lang w:val="sr-Latn-BA"/>
        </w:rPr>
        <w:t>Zaštita ličnih podataka</w:t>
      </w:r>
    </w:p>
    <w:p w14:paraId="040BCBCF" w14:textId="77777777" w:rsidR="001F77DD" w:rsidRDefault="001F77DD">
      <w:pPr>
        <w:spacing w:after="0" w:line="360" w:lineRule="auto"/>
        <w:jc w:val="both"/>
        <w:rPr>
          <w:rFonts w:ascii="Arial" w:hAnsi="Arial" w:cs="Arial"/>
          <w:sz w:val="20"/>
          <w:szCs w:val="20"/>
          <w:lang w:val="sr-Latn-BA"/>
        </w:rPr>
      </w:pPr>
    </w:p>
    <w:p w14:paraId="5396841D"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Zaštita ličnih podataka predstavlja važan aspekt tehničkog upravljanja centralnim evidencijama, razmjene podataka i razvoja digitalnih servisa IDDEEA-e. Postojeću osnovu čine sistem upravljanja informacionom sigurnošću, objavljene politike privatnosti i tehničke i organizacione mjere zaštite. Politika privatnosti servisa „Digitalno predstavljanje“ i aplikacije „e-IDDEEA“ predviđa ograničavanje svrhe korištenja podataka, enkripciju u prijenosu i pri pohranjivanju te zaštitu od neovlaštenog pristupa, gubitka i zloupotrebe.</w:t>
      </w:r>
    </w:p>
    <w:p w14:paraId="3C42C841" w14:textId="046688DA"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Razvojne potrebe u periodu 2027–2031. obuhvataju kontinuirano usklađivanje internih procedura sa važećim propisima, unapređenje upravljanja pristupnim pravima i sljedivosti obrade, primjenu zaštite podataka po dizajnu i po zadanim postavkama te procjene uticaja na zaštitu ličnih podataka kada su propisane. Posebnu pažnju potrebno je posvetiti obradi biometrijskih podataka, novim digitalnim servisima i povezivanju evidencija, uz jasno razgraničenje odgovornosti IDDEEA-e i nadležnih organa te kontinuiranu obuku zaposlenih.</w:t>
      </w:r>
    </w:p>
    <w:p w14:paraId="6C9CB7E8" w14:textId="77777777" w:rsidR="001F77DD" w:rsidRDefault="001F77DD">
      <w:pPr>
        <w:spacing w:after="0" w:line="360" w:lineRule="auto"/>
        <w:jc w:val="both"/>
        <w:rPr>
          <w:rFonts w:ascii="Arial" w:hAnsi="Arial" w:cs="Arial"/>
          <w:color w:val="C00000"/>
          <w:sz w:val="20"/>
          <w:szCs w:val="20"/>
          <w:lang w:val="sr-Latn-BA"/>
        </w:rPr>
      </w:pPr>
    </w:p>
    <w:p w14:paraId="479C4CB0" w14:textId="0284BA2A" w:rsidR="001F77DD" w:rsidRDefault="00D97F9C">
      <w:pPr>
        <w:pStyle w:val="ListParagraph"/>
        <w:numPr>
          <w:ilvl w:val="1"/>
          <w:numId w:val="21"/>
        </w:numPr>
        <w:spacing w:after="0" w:line="360" w:lineRule="auto"/>
        <w:jc w:val="both"/>
        <w:rPr>
          <w:rFonts w:ascii="Arial" w:hAnsi="Arial" w:cs="Arial"/>
          <w:b/>
          <w:sz w:val="20"/>
          <w:szCs w:val="20"/>
          <w:lang w:val="sr-Latn-BA"/>
        </w:rPr>
      </w:pPr>
      <w:r>
        <w:rPr>
          <w:rFonts w:ascii="Arial" w:hAnsi="Arial" w:cs="Arial"/>
          <w:b/>
          <w:sz w:val="20"/>
          <w:szCs w:val="20"/>
          <w:lang w:val="sr-Latn-BA"/>
        </w:rPr>
        <w:t>Kontinuitet poslovanja i disaster recovery</w:t>
      </w:r>
    </w:p>
    <w:p w14:paraId="74C2C759" w14:textId="37498D50" w:rsidR="001F77DD" w:rsidRDefault="001F77DD">
      <w:pPr>
        <w:spacing w:after="0" w:line="360" w:lineRule="auto"/>
        <w:jc w:val="both"/>
        <w:rPr>
          <w:rFonts w:ascii="Arial" w:eastAsia="Calibri" w:hAnsi="Arial" w:cs="Arial"/>
          <w:sz w:val="20"/>
          <w:szCs w:val="20"/>
          <w:lang w:val="sr-Latn-BA"/>
        </w:rPr>
      </w:pPr>
    </w:p>
    <w:p w14:paraId="4CAFC286"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Raspoloživost centralnih evidencija, telekomunikacione infrastrukture, sistema personalizacije i digitalnih servisa IDDEEA-e važna je za nesmetano izvršavanje poslova Agencije i nadležnih organa. Kontinuitet poslovanja prepoznat je u javno objavljenoj politici informacione sigurnosti. Praktična pravila pružanja usluga certificiranja IDDEEA-inog ovjerioca dodatno uređuju postupanje u slučaju incidenata, planiranje oporavka i obnovu rada na nezavisnoj lokaciji korištenjem rezervnih podataka.</w:t>
      </w:r>
    </w:p>
    <w:p w14:paraId="5C1DED8D" w14:textId="106ADF11"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 xml:space="preserve">Razvojne potrebe u periodu 2027–2031. obuhvataju objedinjavanje i redovno ažuriranje planova kontinuiteta poslovanja i oporavka informacionih sistema nakon ozbiljnih prekida (disaster recovery), na osnovu procjene rizika i analize uticaja prekida na ključne procese. Prioriteti su unapređenje rezervnih </w:t>
      </w:r>
      <w:r>
        <w:rPr>
          <w:rFonts w:ascii="Arial" w:eastAsia="Calibri" w:hAnsi="Arial" w:cs="Arial"/>
          <w:sz w:val="20"/>
          <w:szCs w:val="20"/>
          <w:lang w:val="sr-Latn-BA"/>
        </w:rPr>
        <w:lastRenderedPageBreak/>
        <w:t>kopija, redundantnih kapaciteta i alternativnih komunikacionih pravaca, utvrđivanje ciljanog vremena oporavka (RTO) i prihvatljivog gubitka podataka (RPO) za pojedinačne sisteme te redovno testiranje oporavka. Planovi trebaju jasno odrediti odgovornosti, redoslijed obnove servisa i način komunikacije sa nadležnim organima tokom prekida.</w:t>
      </w:r>
    </w:p>
    <w:p w14:paraId="2D711F2E" w14:textId="6A2FE66C" w:rsidR="001F77DD" w:rsidRDefault="00D97F9C">
      <w:pPr>
        <w:pStyle w:val="ListParagraph"/>
        <w:keepNext/>
        <w:keepLines/>
        <w:numPr>
          <w:ilvl w:val="1"/>
          <w:numId w:val="22"/>
        </w:numPr>
        <w:spacing w:before="200" w:after="0" w:line="360" w:lineRule="auto"/>
        <w:outlineLvl w:val="1"/>
        <w:rPr>
          <w:rFonts w:ascii="Arial" w:hAnsi="Arial" w:cs="Arial"/>
          <w:b/>
          <w:bCs/>
          <w:iCs/>
          <w:sz w:val="20"/>
          <w:lang w:val="sr-Latn-BA"/>
        </w:rPr>
      </w:pPr>
      <w:r>
        <w:rPr>
          <w:rFonts w:ascii="Arial" w:hAnsi="Arial" w:cs="Arial"/>
          <w:b/>
          <w:bCs/>
          <w:iCs/>
          <w:sz w:val="20"/>
          <w:lang w:val="sr-Latn-BA"/>
        </w:rPr>
        <w:t>Sistem upravljanja kvalitetom, sigurnošću, privatnošću i integriteton</w:t>
      </w:r>
    </w:p>
    <w:p w14:paraId="67C5F94E" w14:textId="77777777" w:rsidR="001F77DD" w:rsidRDefault="00D97F9C">
      <w:pPr>
        <w:keepNext/>
        <w:spacing w:before="240" w:after="60" w:line="360" w:lineRule="auto"/>
        <w:jc w:val="both"/>
        <w:outlineLvl w:val="2"/>
        <w:rPr>
          <w:rFonts w:ascii="Arial" w:hAnsi="Arial" w:cs="Arial"/>
          <w:b/>
          <w:bCs/>
          <w:sz w:val="20"/>
          <w:szCs w:val="20"/>
          <w:lang w:val="sr-Latn-BA"/>
        </w:rPr>
      </w:pPr>
      <w:bookmarkStart w:id="13" w:name="_Toc213758710"/>
      <w:bookmarkStart w:id="14" w:name="_Toc153105944"/>
      <w:r>
        <w:rPr>
          <w:rFonts w:ascii="Arial" w:hAnsi="Arial" w:cs="Arial"/>
          <w:b/>
          <w:bCs/>
          <w:sz w:val="20"/>
          <w:szCs w:val="20"/>
          <w:lang w:val="sr-Latn-BA"/>
        </w:rPr>
        <w:t>Održavanje standarda</w:t>
      </w:r>
      <w:bookmarkEnd w:id="13"/>
    </w:p>
    <w:p w14:paraId="30FA1E1F"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Agencija je u 2012. godini zbog unapređenja poslovnih procesa certificirala dva ISO standarda:</w:t>
      </w:r>
    </w:p>
    <w:p w14:paraId="06625D9D" w14:textId="77777777" w:rsidR="001F77DD" w:rsidRDefault="00D97F9C">
      <w:pPr>
        <w:numPr>
          <w:ilvl w:val="0"/>
          <w:numId w:val="7"/>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ISO 9001 - je međunarodni standard kojim se specificiraju zahtjevi za uspostavljanje, primjenu, održavanje i stalno poboljšanje sistema menadžmenta kvalitetom (QMS-a) unutar konteksta organizacije.</w:t>
      </w:r>
    </w:p>
    <w:p w14:paraId="06ADF50E" w14:textId="77777777" w:rsidR="001F77DD" w:rsidRDefault="00D97F9C">
      <w:pPr>
        <w:numPr>
          <w:ilvl w:val="0"/>
          <w:numId w:val="7"/>
        </w:numPr>
        <w:spacing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ISO 27001 - je međunarodni standard za sisteme upravljanja bezbjednošću informacija. Ovaj standard pomaže organizacijama da identifikuju, procjene i upravljaju rizicima u vezi sa bezbjednošću informacija kako bi zaštitili povjerljive podatke, integritet i dostupnost informacija.</w:t>
      </w:r>
    </w:p>
    <w:p w14:paraId="5A9EC338" w14:textId="77777777" w:rsidR="001F77DD" w:rsidRDefault="001F77DD">
      <w:pPr>
        <w:pStyle w:val="ListParagraph"/>
        <w:keepNext/>
        <w:spacing w:before="240" w:after="60" w:line="360" w:lineRule="auto"/>
        <w:ind w:left="1080"/>
        <w:jc w:val="both"/>
        <w:outlineLvl w:val="2"/>
        <w:rPr>
          <w:rFonts w:ascii="Arial" w:hAnsi="Arial" w:cs="Arial"/>
          <w:b/>
          <w:bCs/>
          <w:sz w:val="20"/>
          <w:szCs w:val="20"/>
          <w:lang w:val="sr-Latn-BA"/>
        </w:rPr>
      </w:pPr>
      <w:bookmarkStart w:id="15" w:name="_Toc153105945"/>
      <w:bookmarkEnd w:id="14"/>
    </w:p>
    <w:p w14:paraId="17B430D6" w14:textId="77777777" w:rsidR="001F77DD" w:rsidRDefault="00D97F9C">
      <w:pPr>
        <w:spacing w:line="360" w:lineRule="auto"/>
        <w:jc w:val="both"/>
        <w:rPr>
          <w:rFonts w:ascii="Arial" w:eastAsia="Calibri" w:hAnsi="Arial" w:cs="Arial"/>
          <w:sz w:val="20"/>
          <w:szCs w:val="20"/>
          <w:lang w:val="sr-Latn-BA"/>
        </w:rPr>
      </w:pPr>
      <w:r>
        <w:rPr>
          <w:rFonts w:ascii="Arial" w:eastAsia="Calibri" w:hAnsi="Arial" w:cs="Arial"/>
          <w:sz w:val="20"/>
          <w:szCs w:val="20"/>
          <w:lang w:val="sr-Latn-BA"/>
        </w:rPr>
        <w:t>U toku 2025. godine, Agencija je certificirala četiri nova ISO standarda radi konstantnog i kontinuiranog poboljšanja kvaliteta svoje djelatnosti:</w:t>
      </w:r>
    </w:p>
    <w:p w14:paraId="76C22E06" w14:textId="77777777" w:rsidR="001F77DD" w:rsidRDefault="00D97F9C">
      <w:pPr>
        <w:numPr>
          <w:ilvl w:val="0"/>
          <w:numId w:val="8"/>
        </w:numPr>
        <w:spacing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ISO14001 je međunarodni standard za upravljanje životnom sredinom. Ovaj standard, koji je izdao Međunarodni standardizacijski odbor (ISO), postavlja smjernice za uspostavljanje, implementaciju i održavanje sistema upravljanja životnom sredinom u organizacijama. Standard je dio serije ISO 14000 koja obuhvata različite aspekte upravljanja životnom sredinom.</w:t>
      </w:r>
    </w:p>
    <w:p w14:paraId="126C836F" w14:textId="77777777" w:rsidR="001F77DD" w:rsidRDefault="00D97F9C">
      <w:pPr>
        <w:numPr>
          <w:ilvl w:val="0"/>
          <w:numId w:val="8"/>
        </w:numPr>
        <w:spacing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 xml:space="preserve">ISO 45001 je međunarodni standard za upravljanje bezbjednošću i zdravljem na radu. Zvaničan naziv standarda je </w:t>
      </w:r>
      <w:r>
        <w:rPr>
          <w:rFonts w:ascii="Arial" w:eastAsia="Calibri" w:hAnsi="Arial" w:cs="Arial"/>
          <w:lang w:val="sr-Latn-BA"/>
        </w:rPr>
        <w:t>„</w:t>
      </w:r>
      <w:r>
        <w:rPr>
          <w:rFonts w:ascii="Arial" w:eastAsia="Calibri" w:hAnsi="Arial" w:cs="Arial"/>
          <w:sz w:val="20"/>
          <w:szCs w:val="20"/>
          <w:lang w:val="sr-Latn-BA"/>
        </w:rPr>
        <w:t>ISO 45001 - Occupational health and safety management systems - Requirements with guidance for use</w:t>
      </w:r>
      <w:r>
        <w:rPr>
          <w:rFonts w:ascii="Arial" w:eastAsia="Calibri" w:hAnsi="Arial" w:cs="Arial"/>
          <w:lang w:val="sr-Latn-BA"/>
        </w:rPr>
        <w:t>“</w:t>
      </w:r>
      <w:r>
        <w:rPr>
          <w:rFonts w:ascii="Arial" w:eastAsia="Calibri" w:hAnsi="Arial" w:cs="Arial"/>
          <w:sz w:val="20"/>
          <w:szCs w:val="20"/>
          <w:lang w:val="sr-Latn-BA"/>
        </w:rPr>
        <w:t>. Ovaj standard postavlja smjernice za implementaciju sistema menadžmenta bezbjednošću i zdravljem na radu (OHSMS).</w:t>
      </w:r>
    </w:p>
    <w:p w14:paraId="67FAF87D" w14:textId="77777777" w:rsidR="001F77DD" w:rsidRDefault="00D97F9C">
      <w:pPr>
        <w:numPr>
          <w:ilvl w:val="0"/>
          <w:numId w:val="8"/>
        </w:numPr>
        <w:spacing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 xml:space="preserve"> ISO 27701 je standard koji se odnosi na upravljanje informacijama o privatnosti (PIMS - Privacy Information Management System). Zvaničan naziv standarda je </w:t>
      </w:r>
      <w:r>
        <w:rPr>
          <w:rFonts w:ascii="Arial" w:eastAsia="Calibri" w:hAnsi="Arial" w:cs="Arial"/>
          <w:lang w:val="sr-Latn-BA"/>
        </w:rPr>
        <w:t>„</w:t>
      </w:r>
      <w:r>
        <w:rPr>
          <w:rFonts w:ascii="Arial" w:eastAsia="Calibri" w:hAnsi="Arial" w:cs="Arial"/>
          <w:sz w:val="20"/>
          <w:szCs w:val="20"/>
          <w:lang w:val="sr-Latn-BA"/>
        </w:rPr>
        <w:t>ISO/IEC 27701 - Security techniques — Extension to ISO/IEC 27001 and ISO/IEC 27002 for privacy information management — Requirements and guidelines</w:t>
      </w:r>
      <w:r>
        <w:rPr>
          <w:rFonts w:ascii="Arial" w:eastAsia="Calibri" w:hAnsi="Arial" w:cs="Arial"/>
          <w:lang w:val="sr-Latn-BA"/>
        </w:rPr>
        <w:t>“</w:t>
      </w:r>
      <w:r>
        <w:rPr>
          <w:rFonts w:ascii="Arial" w:eastAsia="Calibri" w:hAnsi="Arial" w:cs="Arial"/>
          <w:sz w:val="20"/>
          <w:szCs w:val="20"/>
          <w:lang w:val="sr-Latn-BA"/>
        </w:rPr>
        <w:t>.</w:t>
      </w:r>
    </w:p>
    <w:p w14:paraId="221BB1F9" w14:textId="77777777" w:rsidR="001F77DD" w:rsidRDefault="00D97F9C">
      <w:pPr>
        <w:spacing w:line="360" w:lineRule="auto"/>
        <w:ind w:left="1080"/>
        <w:contextualSpacing/>
        <w:jc w:val="both"/>
        <w:rPr>
          <w:rFonts w:ascii="Arial" w:eastAsia="Calibri" w:hAnsi="Arial" w:cs="Arial"/>
          <w:sz w:val="20"/>
          <w:szCs w:val="20"/>
          <w:lang w:val="sr-Latn-BA"/>
        </w:rPr>
      </w:pPr>
      <w:r>
        <w:rPr>
          <w:rFonts w:ascii="Arial" w:eastAsia="Calibri" w:hAnsi="Arial" w:cs="Arial"/>
          <w:sz w:val="20"/>
          <w:szCs w:val="20"/>
          <w:lang w:val="sr-Latn-BA"/>
        </w:rPr>
        <w:t>Ovaj standard pruža smjernice i zahtjeve za organizacije koje žele uspostaviti, implementirati, održavati i stalno poboljšavati sistem upravljanja informacijama o privatnosti u skladu sa zahtjevima ISO/IEC 27001 (sistem upravljanja informacionom bezbjednošću) i ISO/IEC 27002 (praktične smjernice za implementaciju kontrola iz ISO/IEC 27001).</w:t>
      </w:r>
    </w:p>
    <w:p w14:paraId="1B8759C7" w14:textId="77777777" w:rsidR="001F77DD" w:rsidRDefault="00D97F9C">
      <w:pPr>
        <w:numPr>
          <w:ilvl w:val="0"/>
          <w:numId w:val="8"/>
        </w:numPr>
        <w:spacing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lastRenderedPageBreak/>
        <w:t xml:space="preserve"> ISO 37001 je međunarodni standard koji se odnosi na sistem menadžmenta za borbu protiv mita (antikorupciju).  Ovaj standard, zvanično poznat kao </w:t>
      </w:r>
      <w:r>
        <w:rPr>
          <w:rFonts w:ascii="Arial" w:eastAsia="Calibri" w:hAnsi="Arial" w:cs="Arial"/>
          <w:lang w:val="sr-Latn-BA"/>
        </w:rPr>
        <w:t>„</w:t>
      </w:r>
      <w:r>
        <w:rPr>
          <w:rFonts w:ascii="Arial" w:eastAsia="Calibri" w:hAnsi="Arial" w:cs="Arial"/>
          <w:sz w:val="20"/>
          <w:szCs w:val="20"/>
          <w:lang w:val="sr-Latn-BA"/>
        </w:rPr>
        <w:t>ISO 37001 - Anti-bribery management systems</w:t>
      </w:r>
      <w:r>
        <w:rPr>
          <w:rFonts w:ascii="Arial" w:eastAsia="Calibri" w:hAnsi="Arial" w:cs="Arial"/>
          <w:lang w:val="sr-Latn-BA"/>
        </w:rPr>
        <w:t>“</w:t>
      </w:r>
      <w:r>
        <w:rPr>
          <w:rFonts w:ascii="Arial" w:eastAsia="Calibri" w:hAnsi="Arial" w:cs="Arial"/>
          <w:sz w:val="20"/>
          <w:szCs w:val="20"/>
          <w:lang w:val="sr-Latn-BA"/>
        </w:rPr>
        <w:t>, pruža smjernice za organizacije u uspostavljanju, implementaciji, održavanju i unapređenju sistema za upravljanje kako bi se spriječila korupcija i primijenile dobre prakse u oblasti borbe protiv mita.</w:t>
      </w:r>
    </w:p>
    <w:p w14:paraId="328BE33D" w14:textId="77777777" w:rsidR="001F77DD" w:rsidRDefault="00D97F9C">
      <w:pPr>
        <w:spacing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 xml:space="preserve"> Tokom strateškog perioda biće vršen po planiranim rasporedima redovni eksterni auditi i resertifikacije za implementirane ISO standarde.</w:t>
      </w:r>
    </w:p>
    <w:p w14:paraId="3B995AA0" w14:textId="77777777" w:rsidR="001F77DD" w:rsidRDefault="00D97F9C">
      <w:pPr>
        <w:spacing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Primjena međunarodnih standarda predstavlja instrument unapređenja unutrašnjeg upravljanja, sigurnosti, privatnosti, integriteta, zaštite okoliša i sigurnosti zaposlenih. Standardi sami po sebi ne predstavljaju izvor javnih ovlaštenja Agencije.</w:t>
      </w:r>
    </w:p>
    <w:p w14:paraId="3D00288A" w14:textId="77777777" w:rsidR="001F77DD" w:rsidRDefault="001F77DD">
      <w:pPr>
        <w:keepNext/>
        <w:keepLines/>
        <w:spacing w:after="0" w:line="360" w:lineRule="auto"/>
        <w:jc w:val="both"/>
        <w:outlineLvl w:val="1"/>
        <w:rPr>
          <w:rFonts w:ascii="Arial" w:eastAsia="Calibri" w:hAnsi="Arial" w:cs="Arial"/>
          <w:sz w:val="20"/>
          <w:szCs w:val="20"/>
          <w:lang w:val="sr-Latn-BA"/>
        </w:rPr>
      </w:pPr>
      <w:bookmarkStart w:id="16" w:name="_Toc153105932"/>
      <w:bookmarkStart w:id="17" w:name="_Toc213758702"/>
      <w:bookmarkEnd w:id="15"/>
    </w:p>
    <w:p w14:paraId="13CBF4D9" w14:textId="2305F803" w:rsidR="001F77DD" w:rsidRDefault="00D97F9C">
      <w:pPr>
        <w:pStyle w:val="ListParagraph"/>
        <w:keepNext/>
        <w:keepLines/>
        <w:numPr>
          <w:ilvl w:val="1"/>
          <w:numId w:val="22"/>
        </w:numPr>
        <w:spacing w:after="0" w:line="360" w:lineRule="auto"/>
        <w:jc w:val="both"/>
        <w:outlineLvl w:val="1"/>
        <w:rPr>
          <w:rFonts w:ascii="Arial" w:hAnsi="Arial" w:cs="Arial"/>
          <w:b/>
          <w:bCs/>
          <w:iCs/>
          <w:sz w:val="20"/>
          <w:szCs w:val="20"/>
          <w:lang w:val="sr-Latn-BA"/>
        </w:rPr>
      </w:pPr>
      <w:r>
        <w:rPr>
          <w:rFonts w:ascii="Arial" w:hAnsi="Arial" w:cs="Arial"/>
          <w:b/>
          <w:bCs/>
          <w:iCs/>
          <w:sz w:val="20"/>
          <w:szCs w:val="20"/>
          <w:lang w:val="sr-Latn-BA"/>
        </w:rPr>
        <w:t>Saradnja sa nadležnim organima</w:t>
      </w:r>
      <w:bookmarkEnd w:id="16"/>
      <w:bookmarkEnd w:id="17"/>
    </w:p>
    <w:p w14:paraId="5E8C2CCC"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Poslovi IDDEEA-e po svojoj prirodi zahtijevaju kontinuiranu tehničku i operativnu saradnju sa izvornim i prijemnim organima, nadležnim organima za izdavanje identifikacionih dokumenata i drugim zakonom ovlaštenim korisnicima Sistema IDDEEA.</w:t>
      </w:r>
    </w:p>
    <w:p w14:paraId="429F6C72"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U narednom strateškom periodu saradnja će biti usmjerena na povećanje sigurnosti i dostupnosti elektronske razmjene podataka, standardizaciju integracija, unapređenje kvaliteta podataka, smanjenje nepotrebne razmjene papirnih dokumenata i korištenje elektronskih certifikata i drugih funkcija IDDEEA-e kada za to postoji pravni osnov.</w:t>
      </w:r>
    </w:p>
    <w:p w14:paraId="79101F30" w14:textId="7774911D"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Svaka integracija mora jasno definisati pravni osnov, uloge učesnika, kategorije podataka, svrhu obrade, sigurnosne zahtjeve i odgovornost za podatke i postupak.</w:t>
      </w:r>
    </w:p>
    <w:p w14:paraId="4DEFF21B" w14:textId="2F5A96C0" w:rsidR="001F77DD" w:rsidRDefault="001F77DD">
      <w:pPr>
        <w:spacing w:after="0" w:line="360" w:lineRule="auto"/>
        <w:jc w:val="both"/>
        <w:rPr>
          <w:rFonts w:ascii="Arial" w:eastAsia="Calibri" w:hAnsi="Arial" w:cs="Arial"/>
          <w:sz w:val="20"/>
          <w:szCs w:val="20"/>
          <w:lang w:val="sr-Latn-BA"/>
        </w:rPr>
      </w:pPr>
    </w:p>
    <w:p w14:paraId="41561B91" w14:textId="77777777" w:rsidR="001F77DD" w:rsidRDefault="001F77DD">
      <w:pPr>
        <w:spacing w:after="0" w:line="360" w:lineRule="auto"/>
        <w:jc w:val="both"/>
        <w:rPr>
          <w:rFonts w:ascii="Arial" w:eastAsia="Calibri" w:hAnsi="Arial" w:cs="Arial"/>
          <w:sz w:val="20"/>
          <w:szCs w:val="20"/>
          <w:lang w:val="sr-Latn-BA"/>
        </w:rPr>
      </w:pPr>
    </w:p>
    <w:p w14:paraId="58098CBF" w14:textId="77777777" w:rsidR="001F77DD" w:rsidRDefault="00D97F9C">
      <w:pPr>
        <w:pStyle w:val="ListParagraph"/>
        <w:keepNext/>
        <w:keepLines/>
        <w:numPr>
          <w:ilvl w:val="1"/>
          <w:numId w:val="23"/>
        </w:numPr>
        <w:spacing w:before="200" w:after="0" w:line="360" w:lineRule="auto"/>
        <w:outlineLvl w:val="1"/>
        <w:rPr>
          <w:rFonts w:ascii="Arial" w:hAnsi="Arial" w:cs="Arial"/>
          <w:b/>
          <w:bCs/>
          <w:iCs/>
          <w:sz w:val="20"/>
          <w:szCs w:val="20"/>
          <w:lang w:val="sr-Latn-BA"/>
        </w:rPr>
      </w:pPr>
      <w:bookmarkStart w:id="18" w:name="_Toc153105937"/>
      <w:bookmarkStart w:id="19" w:name="_Toc213758705"/>
      <w:r>
        <w:rPr>
          <w:rFonts w:ascii="Arial" w:hAnsi="Arial" w:cs="Arial"/>
          <w:b/>
          <w:bCs/>
          <w:iCs/>
          <w:sz w:val="20"/>
          <w:szCs w:val="20"/>
          <w:lang w:val="sr-Latn-BA"/>
        </w:rPr>
        <w:t>Međunarodn</w:t>
      </w:r>
      <w:bookmarkEnd w:id="18"/>
      <w:bookmarkEnd w:id="19"/>
      <w:r>
        <w:rPr>
          <w:rFonts w:ascii="Arial" w:hAnsi="Arial" w:cs="Arial"/>
          <w:b/>
          <w:bCs/>
          <w:iCs/>
          <w:sz w:val="20"/>
          <w:szCs w:val="20"/>
          <w:lang w:val="sr-Latn-BA"/>
        </w:rPr>
        <w:t>a saradnja i razvojni projekti</w:t>
      </w:r>
    </w:p>
    <w:p w14:paraId="42D1AE67" w14:textId="77777777" w:rsidR="001F77DD" w:rsidRDefault="00D97F9C">
      <w:pPr>
        <w:spacing w:line="360" w:lineRule="auto"/>
        <w:rPr>
          <w:rFonts w:ascii="Arial" w:eastAsia="Calibri" w:hAnsi="Arial" w:cs="Arial"/>
          <w:b/>
          <w:sz w:val="20"/>
          <w:szCs w:val="20"/>
          <w:lang w:val="sr-Latn-BA"/>
        </w:rPr>
      </w:pPr>
      <w:bookmarkStart w:id="20" w:name="_Toc153105938"/>
      <w:r>
        <w:rPr>
          <w:rFonts w:ascii="Arial" w:eastAsia="Calibri" w:hAnsi="Arial" w:cs="Arial"/>
          <w:b/>
          <w:sz w:val="20"/>
          <w:szCs w:val="20"/>
          <w:lang w:val="sr-Latn-BA"/>
        </w:rPr>
        <w:t>ICAO PKD</w:t>
      </w:r>
      <w:bookmarkEnd w:id="20"/>
    </w:p>
    <w:p w14:paraId="011C8961"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BiH je postala član ICAO PKD (Direktorij javnih ključeva), a kao lider projekta imenovana je Agencija. Navedenu bazu održava Međunarodna organizacija za civilno vazduhoplovstvo – ICAO, a sadrži podatke o nacionalnim kriptografskim ključevima zemalja članica potrebnim za autentikaciju informacija iz e-pasoša. Učešće podrazumijeva prenos certifikata potpisnika dokumenta u ICAO PKD, certifikate linkova certifikacijske ustanove zemlje potpisnice, Master liste CSCA i Liste opozvanih certifikata. Prema zvaničnim podacima zaključno sa oktobrom 2023. godine, ICAO PKD broji ukupno 107 zemalja članica. Da bi postala učesnica ICAO PKD-a, potrebno je da država potencijalna članica ICAO-a dostavi Generalnom sekretarijatu namjeru o učešću i da se nakon toga upiše kod operatera u skladu sa ICAO PKD pravilima i procedurama. BiH uplaćuje godišnju članarinu čiji iznos se mijenja u zavisnosti od momenta priključenja, kao i broja korisnika s obzirom  na to da se proporcionalno raspoređuje prema broju učesnica. Neophodno je nastaviti aktivnosti vezane za ovo članstvo koje proizilaze iz obaveza preuzetih iz ICAO PKD.</w:t>
      </w:r>
    </w:p>
    <w:p w14:paraId="3ECEF2A7" w14:textId="77777777" w:rsidR="001F77DD" w:rsidRDefault="001F77DD">
      <w:pPr>
        <w:spacing w:after="0" w:line="360" w:lineRule="auto"/>
        <w:ind w:left="720"/>
        <w:contextualSpacing/>
        <w:jc w:val="both"/>
        <w:rPr>
          <w:rFonts w:ascii="Arial" w:eastAsia="Calibri" w:hAnsi="Arial" w:cs="Arial"/>
          <w:sz w:val="20"/>
          <w:szCs w:val="20"/>
          <w:lang w:val="sr-Latn-BA"/>
        </w:rPr>
      </w:pPr>
    </w:p>
    <w:p w14:paraId="1DE08199" w14:textId="77777777" w:rsidR="001F77DD" w:rsidRDefault="00D97F9C">
      <w:pPr>
        <w:keepNext/>
        <w:keepLines/>
        <w:numPr>
          <w:ilvl w:val="1"/>
          <w:numId w:val="23"/>
        </w:numPr>
        <w:spacing w:before="200" w:after="0" w:line="360" w:lineRule="auto"/>
        <w:outlineLvl w:val="1"/>
        <w:rPr>
          <w:rFonts w:ascii="Arial" w:eastAsia="Calibri" w:hAnsi="Arial" w:cs="Arial"/>
          <w:b/>
          <w:bCs/>
          <w:i/>
          <w:iCs/>
          <w:sz w:val="20"/>
          <w:szCs w:val="20"/>
          <w:lang w:val="sr-Latn-BA"/>
        </w:rPr>
      </w:pPr>
      <w:r>
        <w:rPr>
          <w:rFonts w:ascii="Arial" w:eastAsia="Calibri" w:hAnsi="Arial" w:cs="Arial"/>
          <w:b/>
          <w:bCs/>
          <w:i/>
          <w:iCs/>
          <w:sz w:val="20"/>
          <w:szCs w:val="20"/>
          <w:lang w:val="sr-Latn-BA"/>
        </w:rPr>
        <w:t>Ljudski resursi i razvoj kompetencija</w:t>
      </w:r>
    </w:p>
    <w:p w14:paraId="48D88314" w14:textId="77777777" w:rsidR="001F77DD" w:rsidRDefault="001F77DD">
      <w:pPr>
        <w:spacing w:after="0" w:line="360" w:lineRule="auto"/>
        <w:jc w:val="both"/>
        <w:rPr>
          <w:rFonts w:ascii="Arial" w:eastAsia="Calibri" w:hAnsi="Arial" w:cs="Arial"/>
          <w:sz w:val="20"/>
          <w:szCs w:val="20"/>
          <w:lang w:val="sr-Latn-BA"/>
        </w:rPr>
      </w:pPr>
    </w:p>
    <w:p w14:paraId="35296E75"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 xml:space="preserve">Jedan od kontinuiranih strateških ciljeva Agencije od osnivanja do danas je jačanje ljudskih potencijala kroz niz obuka, bilo da je riječ o usko specijalizovanim obukama iz oblasti informaciono-komunikacionih tehnologija ili opštim obukama u organizaciji Agencije za državnu službu BiH, Direkcije za europske integracije i sl. </w:t>
      </w:r>
    </w:p>
    <w:p w14:paraId="117F5054"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O posvećenosti Agencije najraznovrsnijim vidovima obuka govori i činjenica da raspolažemo platformom „e-Learning“ kojoj mogu pristupiti svi državni službenici i zaposlenici Agencije. Putem „e-Learning“ platforme, koja je razvijena vlastitim potencijalima, do sada se proveo veliki broj obuka i testiranja znanja, a neke od njih je bodovala i Agencija za državnu službu BiH.</w:t>
      </w:r>
    </w:p>
    <w:p w14:paraId="5C39677A"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I u narednom strateškom periodu Agencija će ostati posvećena razvoju ljudskih potencijala i unapređenju znanja i vještina svih službenika kako bi se i svi postavljeni strateški pravci realizovali što kvalitetnije i efikasnije uz minimalno angažovanje trećih lica (outsourcing).</w:t>
      </w:r>
    </w:p>
    <w:p w14:paraId="21439FAB"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Prioritetne oblasti edukacije date su u vidu nekoliko mjera predstavljenih kroz sljedeći tabelarni pregled:</w:t>
      </w:r>
    </w:p>
    <w:p w14:paraId="3A512FA0" w14:textId="77777777" w:rsidR="001F77DD" w:rsidRDefault="00D97F9C">
      <w:pPr>
        <w:spacing w:line="360" w:lineRule="auto"/>
        <w:jc w:val="both"/>
        <w:rPr>
          <w:rFonts w:ascii="Arial" w:eastAsia="Calibri" w:hAnsi="Arial" w:cs="Arial"/>
          <w:sz w:val="20"/>
          <w:szCs w:val="20"/>
          <w:lang w:val="sr-Latn-BA"/>
        </w:rPr>
      </w:pPr>
      <w:r>
        <w:rPr>
          <w:rFonts w:ascii="Arial" w:eastAsia="Calibri" w:hAnsi="Arial" w:cs="Arial"/>
          <w:sz w:val="20"/>
          <w:szCs w:val="20"/>
          <w:lang w:val="sr-Latn-BA"/>
        </w:rPr>
        <w:t>Tabela: Pregled predviđenih obuka i ciljeva edukacije kadrova Agencije za 2027-2031.</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13"/>
        <w:gridCol w:w="4729"/>
      </w:tblGrid>
      <w:tr w:rsidR="001F77DD" w14:paraId="38425E66" w14:textId="77777777">
        <w:trPr>
          <w:tblHeader/>
        </w:trPr>
        <w:tc>
          <w:tcPr>
            <w:tcW w:w="451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579CD20F" w14:textId="77777777" w:rsidR="001F77DD" w:rsidRDefault="00D97F9C">
            <w:pPr>
              <w:jc w:val="center"/>
              <w:rPr>
                <w:rFonts w:ascii="Arial" w:eastAsia="Calibri" w:hAnsi="Arial" w:cs="Arial"/>
                <w:b/>
                <w:sz w:val="20"/>
                <w:szCs w:val="20"/>
                <w:lang w:val="sr-Latn-BA"/>
              </w:rPr>
            </w:pPr>
            <w:r>
              <w:rPr>
                <w:rFonts w:ascii="Arial" w:eastAsia="Calibri" w:hAnsi="Arial" w:cs="Arial"/>
                <w:b/>
                <w:sz w:val="20"/>
                <w:szCs w:val="20"/>
                <w:lang w:val="sr-Latn-BA"/>
              </w:rPr>
              <w:t>Mjera za edukaciju</w:t>
            </w:r>
          </w:p>
        </w:tc>
        <w:tc>
          <w:tcPr>
            <w:tcW w:w="0" w:type="auto"/>
            <w:tcBorders>
              <w:top w:val="single" w:sz="4" w:space="0" w:color="000000"/>
              <w:left w:val="single" w:sz="4" w:space="0" w:color="000000"/>
              <w:bottom w:val="single" w:sz="4" w:space="0" w:color="000000"/>
              <w:right w:val="single" w:sz="4" w:space="0" w:color="000000"/>
            </w:tcBorders>
            <w:shd w:val="clear" w:color="auto" w:fill="C6D9F1"/>
            <w:vAlign w:val="center"/>
          </w:tcPr>
          <w:p w14:paraId="3633677C" w14:textId="77777777" w:rsidR="001F77DD" w:rsidRDefault="00D97F9C">
            <w:pPr>
              <w:jc w:val="center"/>
              <w:rPr>
                <w:rFonts w:ascii="Arial" w:eastAsia="Calibri" w:hAnsi="Arial" w:cs="Arial"/>
                <w:b/>
                <w:sz w:val="20"/>
                <w:szCs w:val="20"/>
                <w:lang w:val="sr-Latn-BA"/>
              </w:rPr>
            </w:pPr>
            <w:r>
              <w:rPr>
                <w:rFonts w:ascii="Arial" w:eastAsia="Calibri" w:hAnsi="Arial" w:cs="Arial"/>
                <w:b/>
                <w:sz w:val="20"/>
                <w:szCs w:val="20"/>
                <w:lang w:val="sr-Latn-BA"/>
              </w:rPr>
              <w:t>Cilj</w:t>
            </w:r>
          </w:p>
        </w:tc>
      </w:tr>
      <w:tr w:rsidR="001F77DD" w14:paraId="652C4B4A" w14:textId="77777777">
        <w:tc>
          <w:tcPr>
            <w:tcW w:w="4513" w:type="dxa"/>
            <w:tcBorders>
              <w:top w:val="single" w:sz="4" w:space="0" w:color="000000"/>
              <w:left w:val="single" w:sz="4" w:space="0" w:color="000000"/>
              <w:bottom w:val="single" w:sz="4" w:space="0" w:color="000000"/>
              <w:right w:val="single" w:sz="4" w:space="0" w:color="000000"/>
            </w:tcBorders>
            <w:vAlign w:val="center"/>
          </w:tcPr>
          <w:p w14:paraId="7A184DD9"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Kontinuirano usavršavanje administrativnog osoblja Agencije</w:t>
            </w:r>
          </w:p>
        </w:tc>
        <w:tc>
          <w:tcPr>
            <w:tcW w:w="0" w:type="auto"/>
            <w:tcBorders>
              <w:top w:val="single" w:sz="4" w:space="0" w:color="000000"/>
              <w:left w:val="single" w:sz="4" w:space="0" w:color="000000"/>
              <w:bottom w:val="single" w:sz="4" w:space="0" w:color="000000"/>
              <w:right w:val="single" w:sz="4" w:space="0" w:color="000000"/>
            </w:tcBorders>
          </w:tcPr>
          <w:p w14:paraId="116F877A"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Efikasan rad zaposlenih u Agenciji na ovim poslovima u skladu sa pozitivnim zakonskim i podzakonskim aktima</w:t>
            </w:r>
          </w:p>
        </w:tc>
      </w:tr>
      <w:tr w:rsidR="001F77DD" w14:paraId="6F5146B9" w14:textId="77777777">
        <w:tc>
          <w:tcPr>
            <w:tcW w:w="4513" w:type="dxa"/>
            <w:tcBorders>
              <w:top w:val="single" w:sz="4" w:space="0" w:color="000000"/>
              <w:left w:val="single" w:sz="4" w:space="0" w:color="000000"/>
              <w:bottom w:val="single" w:sz="4" w:space="0" w:color="000000"/>
              <w:right w:val="single" w:sz="4" w:space="0" w:color="000000"/>
            </w:tcBorders>
            <w:vAlign w:val="center"/>
          </w:tcPr>
          <w:p w14:paraId="52CD2509"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Pohađanje seminara iz oblasti zaštite ličnih i tajnih podataka</w:t>
            </w:r>
          </w:p>
        </w:tc>
        <w:tc>
          <w:tcPr>
            <w:tcW w:w="0" w:type="auto"/>
            <w:tcBorders>
              <w:top w:val="single" w:sz="4" w:space="0" w:color="000000"/>
              <w:left w:val="single" w:sz="4" w:space="0" w:color="000000"/>
              <w:bottom w:val="single" w:sz="4" w:space="0" w:color="000000"/>
              <w:right w:val="single" w:sz="4" w:space="0" w:color="000000"/>
            </w:tcBorders>
            <w:vAlign w:val="center"/>
          </w:tcPr>
          <w:p w14:paraId="23129D38"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Unapređeno znanje državnih službenika koji se susreću s tom problematikom</w:t>
            </w:r>
          </w:p>
        </w:tc>
      </w:tr>
      <w:tr w:rsidR="001F77DD" w14:paraId="1C13162E" w14:textId="77777777">
        <w:tc>
          <w:tcPr>
            <w:tcW w:w="4513" w:type="dxa"/>
            <w:tcBorders>
              <w:top w:val="single" w:sz="4" w:space="0" w:color="000000"/>
              <w:left w:val="single" w:sz="4" w:space="0" w:color="000000"/>
              <w:bottom w:val="single" w:sz="4" w:space="0" w:color="000000"/>
              <w:right w:val="single" w:sz="4" w:space="0" w:color="000000"/>
            </w:tcBorders>
            <w:vAlign w:val="center"/>
          </w:tcPr>
          <w:p w14:paraId="7E3604EA"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Pohađanje specijalističkih obuka (sigurnost identifikacionih dokumenata, održavanje opreme, održavanja i unutrašnjeg obezbjeđenja objekta,  zaštita na radu, zaštita od požara)</w:t>
            </w:r>
          </w:p>
        </w:tc>
        <w:tc>
          <w:tcPr>
            <w:tcW w:w="0" w:type="auto"/>
            <w:tcBorders>
              <w:top w:val="single" w:sz="4" w:space="0" w:color="000000"/>
              <w:left w:val="single" w:sz="4" w:space="0" w:color="000000"/>
              <w:bottom w:val="single" w:sz="4" w:space="0" w:color="000000"/>
              <w:right w:val="single" w:sz="4" w:space="0" w:color="000000"/>
            </w:tcBorders>
            <w:vAlign w:val="center"/>
          </w:tcPr>
          <w:p w14:paraId="79677D7D"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Unapređena znanja i stečeni certifikati iz oblasti sigurnosti identifikacionih dokumenata, održavanja opreme, održavanja i unutrašnjeg obezbjeđenje objekta,  zaštite na radu i zaštite od požara.</w:t>
            </w:r>
          </w:p>
        </w:tc>
      </w:tr>
      <w:tr w:rsidR="001F77DD" w14:paraId="234696A3" w14:textId="77777777">
        <w:tc>
          <w:tcPr>
            <w:tcW w:w="4513" w:type="dxa"/>
            <w:tcBorders>
              <w:top w:val="single" w:sz="4" w:space="0" w:color="000000"/>
              <w:left w:val="single" w:sz="4" w:space="0" w:color="000000"/>
              <w:bottom w:val="single" w:sz="4" w:space="0" w:color="000000"/>
              <w:right w:val="single" w:sz="4" w:space="0" w:color="000000"/>
            </w:tcBorders>
            <w:vAlign w:val="center"/>
          </w:tcPr>
          <w:p w14:paraId="286A679C"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Pohađanje obuka iz stranih jezika</w:t>
            </w:r>
          </w:p>
        </w:tc>
        <w:tc>
          <w:tcPr>
            <w:tcW w:w="0" w:type="auto"/>
            <w:tcBorders>
              <w:top w:val="single" w:sz="4" w:space="0" w:color="000000"/>
              <w:left w:val="single" w:sz="4" w:space="0" w:color="000000"/>
              <w:bottom w:val="single" w:sz="4" w:space="0" w:color="000000"/>
              <w:right w:val="single" w:sz="4" w:space="0" w:color="000000"/>
            </w:tcBorders>
            <w:vAlign w:val="center"/>
          </w:tcPr>
          <w:p w14:paraId="1515A0A5"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Stečeno novo znanje stranih jezika svih zaposlenih, prvenstveno engleskog jezika.</w:t>
            </w:r>
          </w:p>
        </w:tc>
      </w:tr>
      <w:tr w:rsidR="001F77DD" w14:paraId="660DC055" w14:textId="77777777">
        <w:tc>
          <w:tcPr>
            <w:tcW w:w="4513" w:type="dxa"/>
            <w:tcBorders>
              <w:top w:val="single" w:sz="4" w:space="0" w:color="000000"/>
              <w:left w:val="single" w:sz="4" w:space="0" w:color="000000"/>
              <w:bottom w:val="single" w:sz="4" w:space="0" w:color="000000"/>
              <w:right w:val="single" w:sz="4" w:space="0" w:color="000000"/>
            </w:tcBorders>
          </w:tcPr>
          <w:p w14:paraId="6AE154D5"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Povećanje broja certificiranih inženjera za mrežne tehnologije (CCNA i sl.)</w:t>
            </w:r>
          </w:p>
        </w:tc>
        <w:tc>
          <w:tcPr>
            <w:tcW w:w="0" w:type="auto"/>
            <w:tcBorders>
              <w:top w:val="single" w:sz="4" w:space="0" w:color="000000"/>
              <w:left w:val="single" w:sz="4" w:space="0" w:color="000000"/>
              <w:bottom w:val="single" w:sz="4" w:space="0" w:color="000000"/>
              <w:right w:val="single" w:sz="4" w:space="0" w:color="000000"/>
            </w:tcBorders>
          </w:tcPr>
          <w:p w14:paraId="618071FA"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Definiran model edukovanja kadra;</w:t>
            </w:r>
          </w:p>
          <w:p w14:paraId="17A174BD"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Obezbjeđen potreban kapacitet stručnog kadra za obavljanje složenih  informatičkih poslova.</w:t>
            </w:r>
          </w:p>
        </w:tc>
      </w:tr>
      <w:tr w:rsidR="001F77DD" w14:paraId="389863E8" w14:textId="77777777">
        <w:trPr>
          <w:trHeight w:val="773"/>
        </w:trPr>
        <w:tc>
          <w:tcPr>
            <w:tcW w:w="4513" w:type="dxa"/>
            <w:tcBorders>
              <w:top w:val="single" w:sz="4" w:space="0" w:color="000000"/>
              <w:left w:val="single" w:sz="4" w:space="0" w:color="000000"/>
              <w:bottom w:val="single" w:sz="4" w:space="0" w:color="000000"/>
              <w:right w:val="single" w:sz="4" w:space="0" w:color="000000"/>
            </w:tcBorders>
          </w:tcPr>
          <w:p w14:paraId="607B41E3"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Provođenje obuke iz oblasti DBA (Oracle), razvoj i testiranje aplikacija (APEX), Implementacija web servisa</w:t>
            </w:r>
          </w:p>
        </w:tc>
        <w:tc>
          <w:tcPr>
            <w:tcW w:w="0" w:type="auto"/>
            <w:tcBorders>
              <w:top w:val="single" w:sz="4" w:space="0" w:color="000000"/>
              <w:left w:val="single" w:sz="4" w:space="0" w:color="000000"/>
              <w:bottom w:val="single" w:sz="4" w:space="0" w:color="000000"/>
              <w:right w:val="single" w:sz="4" w:space="0" w:color="000000"/>
            </w:tcBorders>
          </w:tcPr>
          <w:p w14:paraId="739B965A"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Definisan model educiranja stručnog kadra Agencije;</w:t>
            </w:r>
          </w:p>
          <w:p w14:paraId="32E3E253"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Obezbjeđen potreban kapacitet stručnog kadra za održavanje i razvoj novih servisa.</w:t>
            </w:r>
          </w:p>
        </w:tc>
      </w:tr>
      <w:tr w:rsidR="001F77DD" w14:paraId="493D8BC1" w14:textId="77777777">
        <w:tc>
          <w:tcPr>
            <w:tcW w:w="4513" w:type="dxa"/>
            <w:tcBorders>
              <w:top w:val="single" w:sz="4" w:space="0" w:color="000000"/>
              <w:left w:val="single" w:sz="4" w:space="0" w:color="000000"/>
              <w:bottom w:val="single" w:sz="4" w:space="0" w:color="000000"/>
              <w:right w:val="single" w:sz="4" w:space="0" w:color="000000"/>
            </w:tcBorders>
          </w:tcPr>
          <w:p w14:paraId="00758D32"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lastRenderedPageBreak/>
              <w:t>Provođenje posebne obuke po pitanju sigurnosti i Internet sigurnosti</w:t>
            </w:r>
          </w:p>
        </w:tc>
        <w:tc>
          <w:tcPr>
            <w:tcW w:w="0" w:type="auto"/>
            <w:tcBorders>
              <w:top w:val="single" w:sz="4" w:space="0" w:color="000000"/>
              <w:left w:val="single" w:sz="4" w:space="0" w:color="000000"/>
              <w:bottom w:val="single" w:sz="4" w:space="0" w:color="000000"/>
              <w:right w:val="single" w:sz="4" w:space="0" w:color="000000"/>
            </w:tcBorders>
          </w:tcPr>
          <w:p w14:paraId="38B679A0"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Definisan model educiranja kadra.</w:t>
            </w:r>
          </w:p>
        </w:tc>
      </w:tr>
      <w:tr w:rsidR="001F77DD" w14:paraId="59274819" w14:textId="77777777">
        <w:tc>
          <w:tcPr>
            <w:tcW w:w="4513" w:type="dxa"/>
            <w:tcBorders>
              <w:top w:val="single" w:sz="4" w:space="0" w:color="000000"/>
              <w:left w:val="single" w:sz="4" w:space="0" w:color="000000"/>
              <w:bottom w:val="single" w:sz="4" w:space="0" w:color="000000"/>
              <w:right w:val="single" w:sz="4" w:space="0" w:color="000000"/>
            </w:tcBorders>
          </w:tcPr>
          <w:p w14:paraId="7528213C"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Provođenje obuke iz oblasti PKI (autentikacija, certifikati, LDAP)</w:t>
            </w:r>
          </w:p>
        </w:tc>
        <w:tc>
          <w:tcPr>
            <w:tcW w:w="0" w:type="auto"/>
            <w:tcBorders>
              <w:top w:val="single" w:sz="4" w:space="0" w:color="000000"/>
              <w:left w:val="single" w:sz="4" w:space="0" w:color="000000"/>
              <w:bottom w:val="single" w:sz="4" w:space="0" w:color="000000"/>
              <w:right w:val="single" w:sz="4" w:space="0" w:color="000000"/>
            </w:tcBorders>
          </w:tcPr>
          <w:p w14:paraId="1F8FE592"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Definisan model educiranja kadra;</w:t>
            </w:r>
          </w:p>
          <w:p w14:paraId="6E66E5BB"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Obezbjeđen potreban kapacitet stručnog kadra za održavanje i razvoj novih servisa.</w:t>
            </w:r>
          </w:p>
        </w:tc>
      </w:tr>
      <w:tr w:rsidR="001F77DD" w14:paraId="5305D0E1" w14:textId="77777777">
        <w:tc>
          <w:tcPr>
            <w:tcW w:w="4513" w:type="dxa"/>
            <w:tcBorders>
              <w:top w:val="single" w:sz="4" w:space="0" w:color="000000"/>
              <w:left w:val="single" w:sz="4" w:space="0" w:color="000000"/>
              <w:bottom w:val="single" w:sz="4" w:space="0" w:color="000000"/>
              <w:right w:val="single" w:sz="4" w:space="0" w:color="000000"/>
            </w:tcBorders>
          </w:tcPr>
          <w:p w14:paraId="1019F281"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Provođenje obuka terenskih ekipa Agencije za održavanje opreme i bezbjedan rad na visini</w:t>
            </w:r>
          </w:p>
        </w:tc>
        <w:tc>
          <w:tcPr>
            <w:tcW w:w="0" w:type="auto"/>
            <w:tcBorders>
              <w:top w:val="single" w:sz="4" w:space="0" w:color="000000"/>
              <w:left w:val="single" w:sz="4" w:space="0" w:color="000000"/>
              <w:bottom w:val="single" w:sz="4" w:space="0" w:color="000000"/>
              <w:right w:val="single" w:sz="4" w:space="0" w:color="000000"/>
            </w:tcBorders>
          </w:tcPr>
          <w:p w14:paraId="4E78EE71"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Terenske ekipe osposobljene za bezbjedan i efikasan rad na terenu prilikom održavanja opreme.</w:t>
            </w:r>
          </w:p>
        </w:tc>
      </w:tr>
      <w:tr w:rsidR="001F77DD" w14:paraId="212B33DD" w14:textId="77777777">
        <w:tc>
          <w:tcPr>
            <w:tcW w:w="4513" w:type="dxa"/>
            <w:tcBorders>
              <w:top w:val="single" w:sz="4" w:space="0" w:color="000000"/>
              <w:left w:val="single" w:sz="4" w:space="0" w:color="000000"/>
              <w:bottom w:val="single" w:sz="4" w:space="0" w:color="000000"/>
              <w:right w:val="single" w:sz="4" w:space="0" w:color="000000"/>
            </w:tcBorders>
          </w:tcPr>
          <w:p w14:paraId="59508BDE"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Provođenje obuke iz oblasti bezbjednosti i zaštite</w:t>
            </w:r>
          </w:p>
        </w:tc>
        <w:tc>
          <w:tcPr>
            <w:tcW w:w="0" w:type="auto"/>
            <w:tcBorders>
              <w:top w:val="single" w:sz="4" w:space="0" w:color="000000"/>
              <w:left w:val="single" w:sz="4" w:space="0" w:color="000000"/>
              <w:bottom w:val="single" w:sz="4" w:space="0" w:color="000000"/>
              <w:right w:val="single" w:sz="4" w:space="0" w:color="000000"/>
            </w:tcBorders>
          </w:tcPr>
          <w:p w14:paraId="0212A4C2"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Definiran model educiranja kadra;</w:t>
            </w:r>
          </w:p>
          <w:p w14:paraId="2047698A" w14:textId="77777777" w:rsidR="001F77DD" w:rsidRDefault="00D97F9C">
            <w:pPr>
              <w:jc w:val="both"/>
              <w:rPr>
                <w:rFonts w:ascii="Arial" w:eastAsia="Calibri" w:hAnsi="Arial" w:cs="Arial"/>
                <w:sz w:val="20"/>
                <w:szCs w:val="20"/>
                <w:lang w:val="sr-Latn-BA"/>
              </w:rPr>
            </w:pPr>
            <w:r>
              <w:rPr>
                <w:rFonts w:ascii="Arial" w:eastAsia="Calibri" w:hAnsi="Arial" w:cs="Arial"/>
                <w:sz w:val="20"/>
                <w:szCs w:val="20"/>
                <w:lang w:val="sr-Latn-BA"/>
              </w:rPr>
              <w:t>Obezbjeđen potreban kapacitet stručnog kadra.</w:t>
            </w:r>
          </w:p>
        </w:tc>
      </w:tr>
    </w:tbl>
    <w:p w14:paraId="558571B6" w14:textId="77777777" w:rsidR="001F77DD" w:rsidRDefault="001F77DD">
      <w:pPr>
        <w:jc w:val="both"/>
        <w:rPr>
          <w:rFonts w:ascii="Arial" w:eastAsia="Calibri" w:hAnsi="Arial" w:cs="Arial"/>
          <w:sz w:val="20"/>
          <w:szCs w:val="20"/>
          <w:lang w:val="sr-Latn-BA"/>
        </w:rPr>
      </w:pPr>
    </w:p>
    <w:p w14:paraId="7B683FD6" w14:textId="77777777" w:rsidR="001F77DD" w:rsidRDefault="00D97F9C">
      <w:pPr>
        <w:rPr>
          <w:rFonts w:ascii="Arial" w:eastAsia="Calibri" w:hAnsi="Arial" w:cs="Arial"/>
          <w:sz w:val="20"/>
          <w:szCs w:val="20"/>
          <w:lang w:val="sr-Latn-BA"/>
        </w:rPr>
      </w:pPr>
      <w:r>
        <w:rPr>
          <w:rFonts w:ascii="Arial" w:eastAsia="Calibri" w:hAnsi="Arial" w:cs="Arial"/>
          <w:sz w:val="20"/>
          <w:szCs w:val="20"/>
          <w:lang w:val="sr-Latn-BA"/>
        </w:rPr>
        <w:t>Od ključnog značaja za Agenciju je kontinuiran razvoj stručnih i digitalnih kompetencija zaposlenih, a posebno kompetencija potrebnih za pouzdano upravljanje i razvoj kritičnih sistema IDDEEA-e.</w:t>
      </w:r>
    </w:p>
    <w:p w14:paraId="6965E415" w14:textId="77777777" w:rsidR="001F77DD" w:rsidRDefault="00D97F9C">
      <w:pPr>
        <w:rPr>
          <w:rFonts w:ascii="Arial" w:eastAsia="Calibri" w:hAnsi="Arial" w:cs="Arial"/>
          <w:sz w:val="20"/>
          <w:szCs w:val="20"/>
          <w:lang w:val="sr-Latn-BA"/>
        </w:rPr>
      </w:pPr>
      <w:r>
        <w:rPr>
          <w:rFonts w:ascii="Arial" w:eastAsia="Calibri" w:hAnsi="Arial" w:cs="Arial"/>
          <w:sz w:val="20"/>
          <w:szCs w:val="20"/>
          <w:lang w:val="sr-Latn-BA"/>
        </w:rPr>
        <w:t>Obuke građana o korištenju konkretnih usluga IDDEEA-e mogu ostati u komunikacijskom dijelu, ali Agencija ne treba sebi davati mandat općeg digitalnog opismenjavanja stanovništva.</w:t>
      </w:r>
      <w:r>
        <w:rPr>
          <w:rFonts w:ascii="Arial" w:eastAsia="Calibri" w:hAnsi="Arial" w:cs="Arial"/>
          <w:sz w:val="20"/>
          <w:szCs w:val="20"/>
          <w:lang w:val="sr-Latn-BA"/>
        </w:rPr>
        <w:br w:type="page" w:clear="all"/>
      </w:r>
    </w:p>
    <w:p w14:paraId="7A89631A" w14:textId="5AA677B9" w:rsidR="001F77DD" w:rsidRDefault="00D97F9C">
      <w:pPr>
        <w:spacing w:line="360" w:lineRule="auto"/>
        <w:ind w:right="4"/>
        <w:jc w:val="both"/>
        <w:rPr>
          <w:rFonts w:ascii="Arial" w:eastAsia="Calibri" w:hAnsi="Arial" w:cs="Arial"/>
          <w:b/>
          <w:sz w:val="20"/>
          <w:szCs w:val="20"/>
          <w:lang w:val="sr-Latn-BA"/>
        </w:rPr>
      </w:pPr>
      <w:r>
        <w:rPr>
          <w:rFonts w:ascii="Arial" w:eastAsia="Calibri" w:hAnsi="Arial" w:cs="Arial"/>
          <w:b/>
          <w:sz w:val="20"/>
          <w:szCs w:val="20"/>
          <w:lang w:val="sr-Latn-BA"/>
        </w:rPr>
        <w:lastRenderedPageBreak/>
        <w:t xml:space="preserve">3.15. Finansijski kapaciteti </w:t>
      </w:r>
    </w:p>
    <w:p w14:paraId="1E50CC31" w14:textId="77777777" w:rsidR="001F77DD" w:rsidRDefault="00D97F9C">
      <w:pPr>
        <w:spacing w:line="360" w:lineRule="auto"/>
        <w:jc w:val="both"/>
        <w:rPr>
          <w:rFonts w:ascii="Arial" w:eastAsia="Calibri" w:hAnsi="Arial" w:cs="Arial"/>
          <w:sz w:val="20"/>
          <w:szCs w:val="20"/>
          <w:lang w:val="sr-Latn-BA"/>
        </w:rPr>
      </w:pPr>
      <w:r>
        <w:rPr>
          <w:rFonts w:ascii="Arial" w:eastAsia="Calibri" w:hAnsi="Arial" w:cs="Arial"/>
          <w:sz w:val="20"/>
          <w:szCs w:val="20"/>
          <w:lang w:val="sr-Latn-BA"/>
        </w:rPr>
        <w:t xml:space="preserve">Agencija kao korisnik budžeta institucija Bosne i Hercegovine u skladu sa Instrukcijom za budžetske korisnike br. 2 – Zahtjev za dodjelu sredstava iz budžeta za konkretnu  godinu, kojom se određuje gornja granica rashoda, raspoređuje  sredstva na način koji obezbjeđuje kontinuirano i efikasno poslovanje Agencije, realizaciju zadatih ciljeva postavljenih pred Agenciju, prvenstveno vezanih za provođenje Zakona o Agenciji za identifikacione dokumente, evidenciju i razmjenu podataka BiH („Službeni glasnik BiH“ br. 56/08). Činjenica je da je iz godine u godinu gornja granica rashoda značajno ograničavajuća u odnosu na potrebe Agencije, iz čega se može zaključiti da na finansijske resurse Agencija i nema utjecaj. Agencije bez obzira na nisku gornju granicu rashoda u budžetskim zahtjevima planirala i sredstva odobrena važećom odlukom o višegodišnjem kapitalnom ulaganju, odnosno </w:t>
      </w:r>
      <w:r>
        <w:rPr>
          <w:rFonts w:ascii="Arial" w:eastAsia="Arial" w:hAnsi="Arial" w:cs="Arial"/>
          <w:sz w:val="20"/>
          <w:szCs w:val="20"/>
          <w:lang w:val="sr-Latn-BA"/>
        </w:rPr>
        <w:t xml:space="preserve">“ </w:t>
      </w:r>
      <w:r>
        <w:rPr>
          <w:rFonts w:ascii="Arial" w:eastAsia="Arial" w:hAnsi="Arial" w:cs="Arial"/>
          <w:color w:val="000000"/>
          <w:sz w:val="20"/>
        </w:rPr>
        <w:t xml:space="preserve">Projekatu izgradnje objekta Agencije za identifikaciona dokumenta, evidenciju i razmjenu podataka i organizacione jedinice u Banja Luci sa parternim uređenjem lokacije“, te takođe nema uticaja na odobrenje ovih sredstava koja su značajna da bi se nastavla gradnja započetog objekta. </w:t>
      </w:r>
      <w:r>
        <w:rPr>
          <w:rFonts w:ascii="Arial" w:eastAsia="Calibri" w:hAnsi="Arial" w:cs="Arial"/>
          <w:sz w:val="20"/>
          <w:szCs w:val="20"/>
          <w:lang w:val="sr-Latn-BA"/>
        </w:rPr>
        <w:t>Kašnjenje u donošenju Zakona o budžetu institucija BiH i međunarodnih obaveza BiH je takođe jedan od izazova sa kojim se suočava Agencija usljed činjenice da se u doba privremenog finansiranja finansiraju isključivo tekući rashodi bez kapitalnih izdataka, kao i nemogućnost budžetskih korisnika, pa tako i Agencije da u doba privremenog finansiranja započne nove ili proširi postojeće programe i aktivnosti sve dok se ne donese Zakon o budžetu za konkretnu godinu.</w:t>
      </w:r>
    </w:p>
    <w:p w14:paraId="3A62E12F" w14:textId="16054148" w:rsidR="001F77DD" w:rsidRDefault="001F77DD">
      <w:pPr>
        <w:spacing w:after="0" w:line="360" w:lineRule="auto"/>
        <w:jc w:val="both"/>
        <w:rPr>
          <w:rFonts w:ascii="Arial" w:eastAsia="Calibri" w:hAnsi="Arial" w:cs="Arial"/>
          <w:sz w:val="20"/>
          <w:szCs w:val="20"/>
          <w:lang w:val="sr-Latn-BA"/>
        </w:rPr>
      </w:pPr>
    </w:p>
    <w:p w14:paraId="0CD9FF58" w14:textId="77777777" w:rsidR="001F77DD" w:rsidRDefault="00D97F9C">
      <w:pPr>
        <w:keepNext/>
        <w:keepLines/>
        <w:spacing w:before="200" w:after="0" w:line="360" w:lineRule="auto"/>
        <w:outlineLvl w:val="1"/>
        <w:rPr>
          <w:rFonts w:ascii="Arial" w:eastAsia="Calibri" w:hAnsi="Arial" w:cs="Arial"/>
          <w:b/>
          <w:bCs/>
          <w:iCs/>
          <w:sz w:val="20"/>
          <w:szCs w:val="20"/>
          <w:lang w:val="sr-Latn-BA"/>
        </w:rPr>
      </w:pPr>
      <w:bookmarkStart w:id="21" w:name="_Toc213758704"/>
      <w:bookmarkStart w:id="22" w:name="_Toc153105935"/>
      <w:r>
        <w:rPr>
          <w:rFonts w:ascii="Arial" w:eastAsia="Calibri" w:hAnsi="Arial" w:cs="Arial"/>
          <w:b/>
          <w:bCs/>
          <w:iCs/>
          <w:sz w:val="20"/>
          <w:szCs w:val="20"/>
          <w:lang w:val="sr-Latn-BA"/>
        </w:rPr>
        <w:t>Implementacija razvojno-investicionih projekata</w:t>
      </w:r>
      <w:bookmarkEnd w:id="21"/>
      <w:r>
        <w:rPr>
          <w:rFonts w:ascii="Arial" w:eastAsia="Calibri" w:hAnsi="Arial" w:cs="Arial"/>
          <w:b/>
          <w:bCs/>
          <w:iCs/>
          <w:sz w:val="20"/>
          <w:szCs w:val="20"/>
          <w:lang w:val="sr-Latn-BA"/>
        </w:rPr>
        <w:t xml:space="preserve"> </w:t>
      </w:r>
      <w:bookmarkStart w:id="23" w:name="_Toc153105936"/>
      <w:bookmarkEnd w:id="22"/>
      <w:bookmarkEnd w:id="23"/>
    </w:p>
    <w:p w14:paraId="22259356" w14:textId="77777777" w:rsidR="001F77DD" w:rsidRDefault="001F77DD">
      <w:pPr>
        <w:spacing w:line="360" w:lineRule="auto"/>
        <w:jc w:val="both"/>
        <w:rPr>
          <w:rFonts w:ascii="Arial" w:eastAsia="Calibri" w:hAnsi="Arial" w:cs="Arial"/>
          <w:sz w:val="20"/>
          <w:szCs w:val="20"/>
          <w:lang w:val="sr-Latn-BA"/>
        </w:rPr>
      </w:pPr>
    </w:p>
    <w:p w14:paraId="1691FED8" w14:textId="77777777" w:rsidR="001F77DD" w:rsidRDefault="00D97F9C">
      <w:pPr>
        <w:spacing w:line="360" w:lineRule="auto"/>
        <w:jc w:val="both"/>
        <w:rPr>
          <w:rFonts w:ascii="Arial" w:eastAsia="Calibri" w:hAnsi="Arial" w:cs="Arial"/>
          <w:sz w:val="20"/>
          <w:szCs w:val="20"/>
          <w:lang w:val="sr-Latn-BA"/>
        </w:rPr>
      </w:pPr>
      <w:r>
        <w:rPr>
          <w:rFonts w:ascii="Arial" w:eastAsia="Calibri" w:hAnsi="Arial" w:cs="Arial"/>
          <w:sz w:val="20"/>
          <w:szCs w:val="20"/>
          <w:lang w:val="sr-Latn-BA"/>
        </w:rPr>
        <w:t>Kao korisnik budžeta institucija Bosne i Hercegovine, Agencija je dužna da kroz aplikaciju PIMIS prikazuje informacije o novim i postojećim projektima/programima. Agencija trenutno ima dva projekta koja su u statusu implementacije, te Agencija, shodno instrukciji, vrši njihovo redovno kandidovanje i/ili ažuriranje. U ovom dokumetu Agencija daje kratki osvrt na dva trenutna projeka i to kako slijedi:</w:t>
      </w:r>
    </w:p>
    <w:p w14:paraId="79EA6B93" w14:textId="77777777" w:rsidR="001F77DD" w:rsidRDefault="00D97F9C">
      <w:pPr>
        <w:spacing w:line="360" w:lineRule="auto"/>
        <w:rPr>
          <w:rFonts w:ascii="Arial" w:eastAsia="Calibri" w:hAnsi="Arial" w:cs="Arial"/>
          <w:b/>
          <w:sz w:val="20"/>
          <w:szCs w:val="20"/>
          <w:lang w:val="sr-Latn-BA"/>
        </w:rPr>
      </w:pPr>
      <w:r>
        <w:rPr>
          <w:rFonts w:ascii="Arial" w:eastAsia="Calibri" w:hAnsi="Arial" w:cs="Arial"/>
          <w:b/>
          <w:sz w:val="20"/>
          <w:szCs w:val="20"/>
          <w:lang w:val="sr-Latn-BA"/>
        </w:rPr>
        <w:t>Zgrada za smještaj organizacionih jedinica Agencije</w:t>
      </w:r>
    </w:p>
    <w:p w14:paraId="312DCEB4" w14:textId="16C29AA1"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 xml:space="preserve">Rješavanje smještaja organizacionih jedinica je važan segment za unapređenje ukupnog poslovanja, ali i za dostizanje odgovarajućih sigurnosnih i ekonomskih rezultata u skladu sa regulativom. U tom smislu Agencija planira da u doglednom periodu izgradi vlastiti objekat koji bi svim svojim karakteristikama zadovoljio potrebe sjedišta i Centra za skladištenje, personalizaciju i transport dokumenata. Pored sigurnosnih aspekata, veoma je važno dostizanje ekonomskih kriterija, odnosno racionalizacija budžetskih troškova vezanih za iznajmljivanje adekvatnih smještajnih prostora. Agencija će u periodu izgradnje nastojati da maksimalno eliminiše situacije pojavljivanja naknadnih i nepredviđenih radova koji bi mogli uvećati planirane troškove, kroz angažovanje adekvatnog nadzornog organa i projekt menadžera koji bi bili uključeni u svim fazama izgradnje objekta. Jasno je i da Agencija ne može uticati na nagla poskupljenja </w:t>
      </w:r>
      <w:r>
        <w:rPr>
          <w:rFonts w:ascii="Arial" w:eastAsia="Calibri" w:hAnsi="Arial" w:cs="Arial"/>
          <w:sz w:val="20"/>
          <w:szCs w:val="20"/>
          <w:lang w:val="sr-Latn-BA"/>
        </w:rPr>
        <w:lastRenderedPageBreak/>
        <w:t>repromaterijala na tržištu kao i cijene rada, odnosno na to da su neophodna veća sredstva za ove namjene u odnosu na ona koja su odobrena. Također, u ovom strateškom periodu, i smještaj regionalnih centara Bihać i Bijeljina će biti u fokusu, kako bi se trajno riješio smještajni prostor, te izbjegli zakupi poslovnog prostora. Takođe, razmotriće se i pronalaženje trajnog rješenja za RC Sarajevo kako bi se u potpunosti napravila DR i rezervna lokacija za sve ključne procese koji se dešavaju u Agenciji. U toku strateškog perioda, kada bude raspolagala sa više podataka te obezbijedi sve potrebne preduvjete, Agencija će kandidovati planirane projekte kroz PIMIS aplikaciju.</w:t>
      </w:r>
    </w:p>
    <w:p w14:paraId="455FA33C" w14:textId="77777777" w:rsidR="001F77DD" w:rsidRDefault="001F77DD">
      <w:pPr>
        <w:spacing w:after="0" w:line="360" w:lineRule="auto"/>
        <w:jc w:val="both"/>
        <w:rPr>
          <w:rFonts w:ascii="Arial" w:eastAsia="Calibri" w:hAnsi="Arial" w:cs="Arial"/>
          <w:sz w:val="20"/>
          <w:szCs w:val="20"/>
          <w:lang w:val="sr-Latn-BA"/>
        </w:rPr>
      </w:pPr>
    </w:p>
    <w:p w14:paraId="01061875" w14:textId="77777777" w:rsidR="001F77DD" w:rsidRDefault="00D97F9C">
      <w:pPr>
        <w:spacing w:after="0" w:line="360" w:lineRule="auto"/>
        <w:jc w:val="both"/>
        <w:rPr>
          <w:rFonts w:ascii="Arial" w:eastAsia="Calibri" w:hAnsi="Arial" w:cs="Arial"/>
          <w:b/>
          <w:sz w:val="20"/>
          <w:szCs w:val="20"/>
          <w:lang w:val="sr-Latn-BA"/>
        </w:rPr>
      </w:pPr>
      <w:r>
        <w:rPr>
          <w:rFonts w:ascii="Arial" w:eastAsia="Calibri" w:hAnsi="Arial" w:cs="Arial"/>
          <w:b/>
          <w:sz w:val="20"/>
          <w:szCs w:val="20"/>
          <w:lang w:val="sr-Latn-BA"/>
        </w:rPr>
        <w:t>Jačanje kapaciteta i informacionog sistema Agencije</w:t>
      </w:r>
    </w:p>
    <w:p w14:paraId="61E4E3F1" w14:textId="0FCB1F5A"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 xml:space="preserve">Unapređenjem kapaciteta i informacionih sistema Agencije ojačava se efikasnost javne uprave na svim nivoima što je konzistentno sa principima strategije reforme javne uprave u smislu modernizacije i uvođenja e-tehnologija. Širenje upotrebe elektronskih usluga (e-usluga) da uključuju i lične dokumente, odnosno organe u BiH nadležne za njihovo izdavanje, dovešće do povećanja broja e-usluga za građane i poslovnu zajednicu. Bitna dodatna vrijednost ovog projekta ogleda se u smanjenju korupcije i prevara, s obzirom da automatizovana i centralizovana kontrola minimalizuje učešće ljudskog faktora u procesu elektronskog prikupljanja podataka. Na taj način će se povećati povjerenje građana i privrednih subjekata u nepristrasnost i ispravno korištenje podataka. Štaviše, pružanje boljih usluga građanima i privrednim subjektima kroz usvajanje instrumenata i sistema e-usluga (i potencijalnog krajnjeg cilja stvaranja javne uprave koja će funkcionisati prema principu otvorenih podataka) omogućava svim građanima, preduzećima i organizacijama da svoje poslove s javnom upravom obavljaju na transparentan, siguran, pojednostavljen i brži način uz manje troškove. </w:t>
      </w:r>
    </w:p>
    <w:p w14:paraId="691ECCFC" w14:textId="77777777" w:rsidR="001F77DD" w:rsidRDefault="001F77DD">
      <w:pPr>
        <w:spacing w:after="0" w:line="360" w:lineRule="auto"/>
        <w:ind w:left="360"/>
        <w:rPr>
          <w:rFonts w:ascii="Arial" w:eastAsia="Calibri" w:hAnsi="Arial" w:cs="Arial"/>
          <w:sz w:val="20"/>
          <w:szCs w:val="20"/>
          <w:lang w:val="sr-Latn-BA"/>
        </w:rPr>
      </w:pPr>
    </w:p>
    <w:p w14:paraId="5DAAC8AB" w14:textId="1AC66F31" w:rsidR="001F77DD" w:rsidRDefault="00D97F9C">
      <w:pPr>
        <w:keepNext/>
        <w:numPr>
          <w:ilvl w:val="2"/>
          <w:numId w:val="23"/>
        </w:numPr>
        <w:spacing w:before="200" w:after="0" w:line="360" w:lineRule="auto"/>
        <w:outlineLvl w:val="2"/>
        <w:rPr>
          <w:rFonts w:ascii="Arial" w:eastAsia="Calibri" w:hAnsi="Arial" w:cs="Arial"/>
          <w:b/>
          <w:bCs/>
          <w:sz w:val="20"/>
          <w:szCs w:val="20"/>
          <w:lang w:val="sr-Latn-BA"/>
        </w:rPr>
      </w:pPr>
      <w:bookmarkStart w:id="24" w:name="_Toc1531059511"/>
      <w:bookmarkStart w:id="25" w:name="_Toc1771317101"/>
      <w:bookmarkStart w:id="26" w:name="_Toc213758715"/>
      <w:r>
        <w:rPr>
          <w:rFonts w:ascii="Arial" w:eastAsia="Calibri" w:hAnsi="Arial" w:cs="Arial"/>
          <w:b/>
          <w:bCs/>
          <w:sz w:val="20"/>
          <w:szCs w:val="20"/>
          <w:lang w:val="sr-Latn-BA"/>
        </w:rPr>
        <w:t>Poboljšanje sigurnosti</w:t>
      </w:r>
      <w:bookmarkEnd w:id="24"/>
      <w:bookmarkEnd w:id="25"/>
      <w:r>
        <w:rPr>
          <w:rFonts w:ascii="Arial" w:eastAsia="Calibri" w:hAnsi="Arial" w:cs="Arial"/>
          <w:b/>
          <w:bCs/>
          <w:sz w:val="20"/>
          <w:szCs w:val="20"/>
          <w:lang w:val="sr-Latn-BA"/>
        </w:rPr>
        <w:t xml:space="preserve"> registarskih tablica</w:t>
      </w:r>
      <w:bookmarkEnd w:id="26"/>
    </w:p>
    <w:p w14:paraId="30ECFC53" w14:textId="77777777" w:rsidR="001F77DD" w:rsidRDefault="00D97F9C">
      <w:pPr>
        <w:spacing w:before="200" w:after="0" w:line="360" w:lineRule="auto"/>
        <w:rPr>
          <w:rFonts w:ascii="Arial" w:eastAsia="Calibri" w:hAnsi="Arial" w:cs="Arial"/>
          <w:sz w:val="20"/>
          <w:szCs w:val="20"/>
          <w:lang w:val="sr-Latn-BA"/>
        </w:rPr>
      </w:pPr>
      <w:r>
        <w:rPr>
          <w:rFonts w:ascii="Arial" w:eastAsia="Calibri" w:hAnsi="Arial" w:cs="Arial"/>
          <w:sz w:val="20"/>
          <w:szCs w:val="20"/>
          <w:lang w:val="sr-Latn-BA"/>
        </w:rPr>
        <w:t>Pored zaštitnih elemenata, koji se koriste na registarskim tablicama, potrebno je uvesti praćenje životnog vijeka  registarskih tablica od njenog evidentiranja u sistemu do momenta uništavanja.</w:t>
      </w:r>
    </w:p>
    <w:p w14:paraId="0E98CF2D" w14:textId="77777777" w:rsidR="001F77DD" w:rsidRDefault="00D97F9C">
      <w:pPr>
        <w:spacing w:before="200" w:after="0" w:line="360" w:lineRule="auto"/>
        <w:rPr>
          <w:rFonts w:ascii="Arial" w:eastAsia="Calibri" w:hAnsi="Arial" w:cs="Arial"/>
          <w:sz w:val="20"/>
          <w:szCs w:val="20"/>
          <w:lang w:val="sr-Latn-BA"/>
        </w:rPr>
      </w:pPr>
      <w:r>
        <w:rPr>
          <w:rFonts w:ascii="Arial" w:eastAsia="Calibri" w:hAnsi="Arial" w:cs="Arial"/>
          <w:sz w:val="20"/>
          <w:szCs w:val="20"/>
          <w:lang w:val="sr-Latn-BA"/>
        </w:rPr>
        <w:t>Za provođenje ovih aktivnosti, potrebno je obezbjediti:</w:t>
      </w:r>
    </w:p>
    <w:p w14:paraId="1750AEB7" w14:textId="77777777" w:rsidR="001F77DD" w:rsidRDefault="00D97F9C">
      <w:pPr>
        <w:numPr>
          <w:ilvl w:val="0"/>
          <w:numId w:val="16"/>
        </w:numPr>
        <w:spacing w:before="200" w:after="0" w:line="360" w:lineRule="auto"/>
        <w:contextualSpacing/>
        <w:rPr>
          <w:rFonts w:ascii="Arial" w:eastAsia="Calibri" w:hAnsi="Arial" w:cs="Arial"/>
          <w:sz w:val="20"/>
          <w:szCs w:val="20"/>
          <w:lang w:val="sr-Latn-BA"/>
        </w:rPr>
      </w:pPr>
      <w:r>
        <w:rPr>
          <w:rFonts w:ascii="Arial" w:eastAsia="Calibri" w:hAnsi="Arial" w:cs="Arial"/>
          <w:sz w:val="20"/>
          <w:szCs w:val="20"/>
          <w:lang w:val="sr-Latn-BA"/>
        </w:rPr>
        <w:t>izmjene Pravilnika o registraciji,</w:t>
      </w:r>
    </w:p>
    <w:p w14:paraId="0D4B7342" w14:textId="77777777" w:rsidR="001F77DD" w:rsidRDefault="00D97F9C">
      <w:pPr>
        <w:numPr>
          <w:ilvl w:val="0"/>
          <w:numId w:val="16"/>
        </w:numPr>
        <w:spacing w:before="200" w:after="0" w:line="360" w:lineRule="auto"/>
        <w:contextualSpacing/>
        <w:rPr>
          <w:rFonts w:ascii="Arial" w:eastAsia="Calibri" w:hAnsi="Arial" w:cs="Arial"/>
          <w:sz w:val="20"/>
          <w:szCs w:val="20"/>
          <w:lang w:val="sr-Latn-BA"/>
        </w:rPr>
      </w:pPr>
      <w:r>
        <w:rPr>
          <w:rFonts w:ascii="Arial" w:eastAsia="Calibri" w:hAnsi="Arial" w:cs="Arial"/>
          <w:sz w:val="20"/>
          <w:szCs w:val="20"/>
          <w:lang w:val="sr-Latn-BA"/>
        </w:rPr>
        <w:t>vođenje evidencije i izvještavanje o uništenim tablicama.</w:t>
      </w:r>
    </w:p>
    <w:p w14:paraId="367708FE" w14:textId="2E6171BE" w:rsidR="001F77DD" w:rsidRDefault="001F77DD">
      <w:pPr>
        <w:spacing w:line="360" w:lineRule="auto"/>
        <w:ind w:right="4"/>
        <w:jc w:val="both"/>
        <w:rPr>
          <w:rFonts w:ascii="Arial" w:eastAsia="Calibri" w:hAnsi="Arial" w:cs="Arial"/>
          <w:sz w:val="20"/>
          <w:szCs w:val="20"/>
          <w:lang w:val="sr-Latn-BA"/>
        </w:rPr>
      </w:pPr>
    </w:p>
    <w:p w14:paraId="66E74626" w14:textId="77777777" w:rsidR="001F77DD" w:rsidRDefault="00D97F9C">
      <w:pPr>
        <w:numPr>
          <w:ilvl w:val="0"/>
          <w:numId w:val="23"/>
        </w:numPr>
        <w:spacing w:line="360" w:lineRule="auto"/>
        <w:contextualSpacing/>
        <w:outlineLvl w:val="0"/>
        <w:rPr>
          <w:rFonts w:ascii="Arial" w:eastAsia="Calibri" w:hAnsi="Arial" w:cs="Arial"/>
          <w:b/>
          <w:sz w:val="20"/>
          <w:szCs w:val="20"/>
          <w:lang w:val="sr-Latn-BA"/>
        </w:rPr>
      </w:pPr>
      <w:bookmarkStart w:id="27" w:name="_Toc213758727"/>
      <w:r>
        <w:rPr>
          <w:rFonts w:ascii="Arial" w:eastAsia="Calibri" w:hAnsi="Arial" w:cs="Arial"/>
          <w:b/>
          <w:sz w:val="20"/>
          <w:szCs w:val="20"/>
          <w:lang w:val="sr-Latn-BA"/>
        </w:rPr>
        <w:t>Ključni izazovi i problemi sa kojima se Agencija suočava</w:t>
      </w:r>
      <w:bookmarkEnd w:id="27"/>
    </w:p>
    <w:p w14:paraId="517B022F" w14:textId="77777777" w:rsidR="001F77DD" w:rsidRDefault="00D97F9C">
      <w:pPr>
        <w:spacing w:line="360" w:lineRule="auto"/>
        <w:jc w:val="both"/>
        <w:rPr>
          <w:rFonts w:ascii="Arial" w:eastAsia="Calibri" w:hAnsi="Arial" w:cs="Arial"/>
          <w:sz w:val="20"/>
          <w:szCs w:val="20"/>
          <w:lang w:val="sr-Latn-BA"/>
        </w:rPr>
      </w:pPr>
      <w:r>
        <w:rPr>
          <w:rFonts w:ascii="Arial" w:eastAsia="Calibri" w:hAnsi="Arial" w:cs="Arial"/>
          <w:sz w:val="20"/>
          <w:szCs w:val="20"/>
          <w:lang w:val="sr-Latn-BA"/>
        </w:rPr>
        <w:t>S obzirom na specifičnosti poslova i nadležnosti utvrđenih Zakonom o Agenciji („Službeni glasnik BiH“ br. 56/08) Agencija je suočena sa brojnim izazovima i problemima. U nastavku navodimo neke od ključnih izazova i problema sa kojima se Agencija susreće.</w:t>
      </w:r>
    </w:p>
    <w:p w14:paraId="770FB1DE" w14:textId="77777777" w:rsidR="001F77DD" w:rsidRDefault="00D97F9C">
      <w:pPr>
        <w:numPr>
          <w:ilvl w:val="0"/>
          <w:numId w:val="5"/>
        </w:numPr>
        <w:spacing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Izazovi u upravljanju ljudskim resursima i kadrovskoj politici Agencije.</w:t>
      </w:r>
    </w:p>
    <w:p w14:paraId="302787F6" w14:textId="1520271F" w:rsidR="001F77DD" w:rsidRDefault="00D97F9C">
      <w:pPr>
        <w:spacing w:line="360" w:lineRule="auto"/>
        <w:ind w:left="426"/>
        <w:jc w:val="both"/>
        <w:rPr>
          <w:rFonts w:ascii="Arial" w:eastAsia="Calibri" w:hAnsi="Arial" w:cs="Arial"/>
          <w:sz w:val="20"/>
          <w:szCs w:val="20"/>
          <w:lang w:val="sr-Latn-BA"/>
        </w:rPr>
      </w:pPr>
      <w:r>
        <w:rPr>
          <w:rFonts w:ascii="Arial" w:eastAsia="Calibri" w:hAnsi="Arial" w:cs="Arial"/>
          <w:sz w:val="20"/>
          <w:szCs w:val="20"/>
          <w:lang w:val="sr-Latn-BA"/>
        </w:rPr>
        <w:lastRenderedPageBreak/>
        <w:t>Navedeno se odnosi na situaciju da trenutni Pravilnik o unutrašnjoj organizaciji ne odražava realne potrebe poslovnih procesa Agencije, što stvara dodatne izazove u efikasnom funkcioniranju Agencije. Dodatno, nekonkurentne plate u odnosu na privatni sektor otežavaju privlačenje i zadržavanje kvalificiranog kadra, što je ključno za održavanje visokih standarda u radu Agencije. Nadalje, Agencija se susretala sa navedenim problemom dugi niz godina s obzirom na to da su procedure zapošljavanja bile dodatno otežane procedurama pribavljanja saglasnosti za zapošljavanje prvo od relevantnih ministarstava, a zatim od Vijeća ministara Bosne i Hercegovine, što je kadrovsku politiku vodilo u pogrešnom smjeru. Treba naglasiti da je navedena procedura ukinuta početkom 2023. godine, te je Agencija uspjela da uz manje poteškoće popuni dosta upražnjenih radnih mjesta. Potrebe Agencije su mnogo veće od dozvoljenog broja, te je Agencija u proceduri traženja, odnosno odobravanja dodatnog zapošljavanja. Analizom stvarnih potreba posla došlo se do zaključka da će, ukoliko se ne odobri dodatno zapošljavanje, Agencija zapasti u velike poteškoće jer će obim posla biti veći od onog koji mogu zadovoljiti trenutni ljudski kapaciteti i potencijali. Navedeno je alarmantno zbog same osjetljivosti prirode i poslova Agencije, što može izazvati posljedice po javni interes, pa i po same građane. Stoga je neophodno da se procedura dodatnog zapošljavanja privede kraju, odnosno da se usvoji Odluka o dodatnom zapošljavanju, kojom bi Agenciji bilo odobreno dodatno zapošljavanje i popunjavanje dodatnih radnih mjesta. Navedenom Odlukom bi Agenciji u skladu sa budžetom bilo dozvoljeno popunjavanje dodatniih radnih mjesta kako bi navedeni kapacitet mogao ispratiti sve tehničke i tehnološke procese s kojima će se Agencija susretati u narednom periodu..</w:t>
      </w:r>
    </w:p>
    <w:p w14:paraId="7797BB03" w14:textId="3CA49DD1" w:rsidR="001F77DD" w:rsidRDefault="00D97F9C">
      <w:pPr>
        <w:spacing w:line="360" w:lineRule="auto"/>
        <w:ind w:left="360"/>
        <w:contextualSpacing/>
        <w:jc w:val="both"/>
        <w:rPr>
          <w:rFonts w:ascii="Arial" w:eastAsia="Calibri" w:hAnsi="Arial" w:cs="Arial"/>
          <w:sz w:val="20"/>
          <w:szCs w:val="20"/>
          <w:lang w:val="sr-Latn-BA"/>
        </w:rPr>
      </w:pPr>
      <w:r>
        <w:rPr>
          <w:rFonts w:ascii="Arial" w:eastAsia="Calibri" w:hAnsi="Arial" w:cs="Arial"/>
          <w:sz w:val="20"/>
          <w:szCs w:val="20"/>
          <w:lang w:val="sr-Latn-BA"/>
        </w:rPr>
        <w:t xml:space="preserve">Zbog centralne uloge tehničkih sistema IDDEEA-e u oblasti identifikacionih dokumenata, evidencija i razmjene podataka, kontinuitet, sigurnost i tehnološka održivost infrastrukture Agencije imaju značaj za veliki broj zakonom ovlaštenih korisnika.. </w:t>
      </w:r>
    </w:p>
    <w:p w14:paraId="12EE4958" w14:textId="77777777" w:rsidR="001F77DD" w:rsidRDefault="001F77DD">
      <w:pPr>
        <w:spacing w:line="360" w:lineRule="auto"/>
        <w:ind w:left="360"/>
        <w:contextualSpacing/>
        <w:jc w:val="both"/>
        <w:rPr>
          <w:rFonts w:ascii="Arial" w:eastAsia="Calibri" w:hAnsi="Arial" w:cs="Arial"/>
          <w:sz w:val="20"/>
          <w:szCs w:val="20"/>
          <w:lang w:val="sr-Latn-BA"/>
        </w:rPr>
      </w:pPr>
    </w:p>
    <w:p w14:paraId="5A807422" w14:textId="77777777" w:rsidR="001F77DD" w:rsidRDefault="00D97F9C">
      <w:pPr>
        <w:numPr>
          <w:ilvl w:val="0"/>
          <w:numId w:val="5"/>
        </w:numPr>
        <w:spacing w:line="360" w:lineRule="auto"/>
        <w:ind w:left="360"/>
        <w:contextualSpacing/>
        <w:jc w:val="both"/>
        <w:rPr>
          <w:rFonts w:ascii="Arial" w:eastAsia="Calibri" w:hAnsi="Arial" w:cs="Arial"/>
          <w:sz w:val="20"/>
          <w:szCs w:val="20"/>
          <w:lang w:val="sr-Latn-BA"/>
        </w:rPr>
      </w:pPr>
      <w:r>
        <w:rPr>
          <w:rFonts w:ascii="Arial" w:eastAsia="Calibri" w:hAnsi="Arial" w:cs="Arial"/>
          <w:sz w:val="20"/>
          <w:szCs w:val="20"/>
          <w:lang w:val="sr-Latn-BA"/>
        </w:rPr>
        <w:t>Problematika smještaja Agencije</w:t>
      </w:r>
    </w:p>
    <w:p w14:paraId="0BB93F54" w14:textId="251D0029" w:rsidR="001F77DD" w:rsidRDefault="00D97F9C">
      <w:pPr>
        <w:spacing w:line="360" w:lineRule="auto"/>
        <w:ind w:left="360"/>
        <w:jc w:val="both"/>
        <w:rPr>
          <w:rFonts w:ascii="Arial" w:eastAsia="Calibri" w:hAnsi="Arial" w:cs="Arial"/>
          <w:sz w:val="20"/>
          <w:szCs w:val="20"/>
          <w:lang w:val="sr-Latn-BA"/>
        </w:rPr>
      </w:pPr>
      <w:r>
        <w:rPr>
          <w:rFonts w:ascii="Arial" w:eastAsia="Calibri" w:hAnsi="Arial" w:cs="Arial"/>
          <w:sz w:val="20"/>
          <w:szCs w:val="20"/>
          <w:lang w:val="sr-Latn-BA"/>
        </w:rPr>
        <w:t xml:space="preserve">Donošenjem Zakona o Agenciji određeno je da je sjedište Agencije i Centar za skladištenje, personalizaciju i transport ličnih dokumenata u Banjaluci. Kako Agencija nema vlastite poslovne kapacitete, od samog uspostavljanja Agencije, sve organizacione jedinice u Banjaluci se nalazi u zakupljenim prostorima. Početkom 2025. godine Agencije je izvršila preseljenje svojih organizacionih jedinica Centra za personalizaciju, transport i skladištenje ličnih dokumenata i Tehničkog sektora na novu lokaciju u Poslovnoj zoni Incel, u Banjaluci.  </w:t>
      </w:r>
    </w:p>
    <w:p w14:paraId="5CBF3575" w14:textId="18479D10" w:rsidR="001F77DD" w:rsidRDefault="00D97F9C">
      <w:pPr>
        <w:spacing w:line="360" w:lineRule="auto"/>
        <w:ind w:left="360"/>
        <w:jc w:val="both"/>
        <w:rPr>
          <w:rFonts w:ascii="Arial" w:eastAsia="Calibri" w:hAnsi="Arial" w:cs="Arial"/>
          <w:sz w:val="20"/>
          <w:szCs w:val="20"/>
          <w:lang w:val="sr-Latn-BA"/>
        </w:rPr>
      </w:pPr>
      <w:r>
        <w:rPr>
          <w:rFonts w:ascii="Arial" w:eastAsia="Calibri" w:hAnsi="Arial" w:cs="Arial"/>
          <w:sz w:val="20"/>
          <w:szCs w:val="20"/>
          <w:lang w:val="sr-Latn-BA"/>
        </w:rPr>
        <w:t>Agencija je od početka 2024. godine preduzimala  aktivnosti na izradi Odluke o izmjenama</w:t>
      </w:r>
      <w:r>
        <w:rPr>
          <w:rFonts w:ascii="Arial" w:eastAsia="Calibri" w:hAnsi="Arial" w:cs="Arial"/>
          <w:color w:val="FF0000"/>
          <w:sz w:val="20"/>
          <w:szCs w:val="20"/>
          <w:lang w:val="sr-Latn-BA"/>
        </w:rPr>
        <w:t xml:space="preserve">  </w:t>
      </w:r>
      <w:r>
        <w:rPr>
          <w:rFonts w:ascii="Arial" w:eastAsia="Calibri" w:hAnsi="Arial" w:cs="Arial"/>
          <w:color w:val="000000" w:themeColor="text1"/>
          <w:sz w:val="20"/>
          <w:szCs w:val="20"/>
          <w:lang w:val="sr-Latn-BA"/>
        </w:rPr>
        <w:t xml:space="preserve">Odluke o odobrenju projekta „Projekat izgradnje objekta Agencije i organizacione jedinice u Banjaluci sa parternim uređenjem lokacije“ koji će se uvrstiti u program višegodišnjih kapitalnih ulaganja, a </w:t>
      </w:r>
      <w:r>
        <w:rPr>
          <w:rFonts w:ascii="Arial" w:eastAsia="Calibri" w:hAnsi="Arial" w:cs="Arial"/>
          <w:sz w:val="20"/>
          <w:szCs w:val="20"/>
          <w:lang w:val="sr-Latn-BA"/>
        </w:rPr>
        <w:t xml:space="preserve">kojom bi se izmijenio period trajanja kao i povećala vrijednost višegodišnjeg kapitalnog projekta shodno Instrukciji o načinu planiranja, odobravanja i realizacije višegodišnjih projekata u institucijama Bosne i Hercegovine te je na osnovu preduzetog pribavila neophodna mišljenja nadležnih institucija i kompletan </w:t>
      </w:r>
      <w:r>
        <w:rPr>
          <w:rFonts w:ascii="Arial" w:eastAsia="Calibri" w:hAnsi="Arial" w:cs="Arial"/>
          <w:sz w:val="20"/>
          <w:szCs w:val="20"/>
          <w:lang w:val="sr-Latn-BA"/>
        </w:rPr>
        <w:lastRenderedPageBreak/>
        <w:t xml:space="preserve">materijal dostavila Vijeću ministara BiH na usvajanje. Predmetna Odluka je donesena od strane Vijeća ministara Bosne i Hercegovine krajem decembra 2024. godine te je Agencija pokrenula aktivnosti u cilju stvaranja preduslova za realizaciju izgradnje administrativno-proizvodnog objekta. Nakon što je urađena analiza trenutnog stanja izvedenih radova i novi predmer i predračun preostalih radova do završetka objekta, Agencija je uradila ispitivanje tražišta u cilju raspisivanja tendera za nastavak gradnje. Ispitivanje je pokazalo da je za završetak objekta potrebna značajno veća finasijska sredstva od odobrenih </w:t>
      </w:r>
      <w:r>
        <w:rPr>
          <w:rFonts w:ascii="Arial" w:eastAsia="Arial" w:hAnsi="Arial" w:cs="Arial"/>
          <w:color w:val="000000"/>
          <w:sz w:val="20"/>
          <w:szCs w:val="20"/>
        </w:rPr>
        <w:t xml:space="preserve">24.783.000 </w:t>
      </w:r>
      <w:r>
        <w:rPr>
          <w:rFonts w:ascii="Arial" w:eastAsia="Calibri" w:hAnsi="Arial" w:cs="Arial"/>
          <w:sz w:val="20"/>
          <w:szCs w:val="20"/>
          <w:lang w:val="sr-Latn-BA"/>
        </w:rPr>
        <w:t>KM, te je Agencija tokom 2026. godine razmatrala mogućnost izmjene odluke u smislu da se započeti objekat prenamjeni u arhivski prostor, a da se kupe objekti sjedišta i organizacionih jedinica. Agencija je tražila mišljenje Ministarstva finansija i trezora i nakon dobijanja negativnog mišljenje, odlučeno je da se nastavi gradnja započetog objekta.</w:t>
      </w:r>
    </w:p>
    <w:p w14:paraId="2E72AF55" w14:textId="77777777" w:rsidR="001F77DD" w:rsidRDefault="00D97F9C">
      <w:pPr>
        <w:spacing w:line="360" w:lineRule="auto"/>
        <w:ind w:left="360"/>
        <w:jc w:val="both"/>
        <w:rPr>
          <w:rFonts w:ascii="Arial" w:eastAsia="Calibri" w:hAnsi="Arial" w:cs="Arial"/>
          <w:sz w:val="20"/>
          <w:szCs w:val="20"/>
          <w:lang w:val="sr-Latn-BA"/>
        </w:rPr>
      </w:pPr>
      <w:r>
        <w:rPr>
          <w:rFonts w:ascii="Arial" w:eastAsia="Calibri" w:hAnsi="Arial" w:cs="Arial"/>
          <w:sz w:val="20"/>
          <w:szCs w:val="20"/>
          <w:lang w:val="sr-Latn-BA"/>
        </w:rPr>
        <w:t>Agencija se već duže vrijeme suočava sa izazovima vezanim za adekvatne prostorne kapacitete, što je bilo prepoznato još u ranijim strateškim dokumentima. Pored organizacionih jedinica, regionalni centri u Bihaću i Bijeljini, također, nemaju riješeno pitanje vlastitog prostora te Agencija trenutno iznajmljuje privatne prostorije za njihove potrebe.</w:t>
      </w:r>
    </w:p>
    <w:p w14:paraId="00BD23F4" w14:textId="105D8E8E" w:rsidR="001F77DD" w:rsidRDefault="00D97F9C">
      <w:pPr>
        <w:spacing w:line="360" w:lineRule="auto"/>
        <w:ind w:left="360"/>
        <w:jc w:val="both"/>
        <w:rPr>
          <w:rFonts w:ascii="Arial" w:eastAsia="Calibri" w:hAnsi="Arial" w:cs="Arial"/>
          <w:sz w:val="20"/>
          <w:szCs w:val="20"/>
          <w:lang w:val="sr-Latn-BA"/>
        </w:rPr>
      </w:pPr>
      <w:r>
        <w:rPr>
          <w:rFonts w:ascii="Arial" w:eastAsia="Calibri" w:hAnsi="Arial" w:cs="Arial"/>
          <w:sz w:val="20"/>
          <w:szCs w:val="20"/>
          <w:lang w:val="sr-Latn-BA"/>
        </w:rPr>
        <w:t>Posebno je važno istaknuti pitanje rezervne lokacije, kao ključnog za osiguranje kontinuiteta poslovanja Agencija u slučaju katastrofa ili drugih vanrednih situacija. Rezervna lokacija treba da osigura neprekidno funkcioniranje ključnih sistema i servisa Agencije, uključujući izdavanje dokumenata i pristup bazama podataka.</w:t>
      </w:r>
    </w:p>
    <w:p w14:paraId="0FE09335" w14:textId="77777777" w:rsidR="001F77DD" w:rsidRDefault="001F77DD">
      <w:pPr>
        <w:spacing w:line="360" w:lineRule="auto"/>
        <w:ind w:left="360"/>
        <w:jc w:val="both"/>
        <w:rPr>
          <w:rFonts w:ascii="Arial" w:eastAsia="Calibri" w:hAnsi="Arial" w:cs="Arial"/>
          <w:sz w:val="20"/>
          <w:szCs w:val="20"/>
          <w:lang w:val="sr-Latn-BA"/>
        </w:rPr>
      </w:pPr>
    </w:p>
    <w:p w14:paraId="35F0BD8F" w14:textId="517D6D1E" w:rsidR="001F77DD" w:rsidRDefault="00D97F9C">
      <w:pPr>
        <w:spacing w:line="360" w:lineRule="auto"/>
        <w:ind w:left="360"/>
        <w:jc w:val="both"/>
        <w:rPr>
          <w:rFonts w:ascii="Arial" w:eastAsia="Calibri" w:hAnsi="Arial" w:cs="Arial"/>
          <w:b/>
          <w:sz w:val="20"/>
          <w:szCs w:val="20"/>
          <w:lang w:val="sr-Latn-BA"/>
        </w:rPr>
      </w:pPr>
      <w:r>
        <w:rPr>
          <w:rFonts w:ascii="Arial" w:eastAsia="Calibri" w:hAnsi="Arial" w:cs="Arial"/>
          <w:b/>
          <w:sz w:val="20"/>
          <w:szCs w:val="20"/>
          <w:lang w:val="sr-Latn-BA"/>
        </w:rPr>
        <w:t>4.1. SWOT analiza</w:t>
      </w:r>
    </w:p>
    <w:p w14:paraId="53D00345" w14:textId="623B8A5D" w:rsidR="001F77DD" w:rsidRDefault="00D97F9C">
      <w:pPr>
        <w:spacing w:line="360" w:lineRule="auto"/>
        <w:jc w:val="both"/>
        <w:rPr>
          <w:rFonts w:ascii="Arial" w:eastAsia="Calibri" w:hAnsi="Arial" w:cs="Arial"/>
          <w:sz w:val="20"/>
          <w:szCs w:val="20"/>
          <w:lang w:val="sr-Latn-BA"/>
        </w:rPr>
      </w:pPr>
      <w:r>
        <w:rPr>
          <w:rFonts w:ascii="Arial" w:eastAsia="Calibri" w:hAnsi="Arial" w:cs="Arial"/>
          <w:sz w:val="20"/>
          <w:szCs w:val="20"/>
          <w:lang w:val="sr-Latn-BA"/>
        </w:rPr>
        <w:t>Ova SWOT analiza predstavlja analitičku osnovu za izbor strateških ciljeva, ne samo opis postojećeg stanja. Ona pokazuje zašto su, između ostalog, potrebni ciljevi koji se odnose na sigurnost identifikacionih dokumenata, centralne evidencije, sigurnu razmjenu podataka, digitalni identitet, cyber sigurnost, međunarodnu saradnju i institucionalne kapacitete.</w:t>
      </w:r>
    </w:p>
    <w:tbl>
      <w:tblPr>
        <w:tblStyle w:val="TableGrid"/>
        <w:tblW w:w="0" w:type="auto"/>
        <w:tblLook w:val="04A0" w:firstRow="1" w:lastRow="0" w:firstColumn="1" w:lastColumn="0" w:noHBand="0" w:noVBand="1"/>
      </w:tblPr>
      <w:tblGrid>
        <w:gridCol w:w="4675"/>
        <w:gridCol w:w="4675"/>
      </w:tblGrid>
      <w:tr w:rsidR="001F77DD" w14:paraId="11715CE3" w14:textId="77777777">
        <w:tc>
          <w:tcPr>
            <w:tcW w:w="4675" w:type="dxa"/>
          </w:tcPr>
          <w:p w14:paraId="3B8088BD" w14:textId="77777777" w:rsidR="001F77DD" w:rsidRDefault="00D97F9C">
            <w:pPr>
              <w:pStyle w:val="ListParagraph"/>
              <w:numPr>
                <w:ilvl w:val="0"/>
                <w:numId w:val="31"/>
              </w:numPr>
              <w:tabs>
                <w:tab w:val="left" w:pos="612"/>
              </w:tabs>
              <w:ind w:left="342"/>
              <w:rPr>
                <w:rFonts w:ascii="Arial" w:hAnsi="Arial" w:cs="Arial"/>
                <w:b/>
              </w:rPr>
            </w:pPr>
            <w:r>
              <w:rPr>
                <w:rFonts w:ascii="Arial" w:hAnsi="Arial" w:cs="Arial"/>
                <w:b/>
              </w:rPr>
              <w:t xml:space="preserve">SNAGE </w:t>
            </w:r>
          </w:p>
          <w:p w14:paraId="4D0A95FF" w14:textId="77777777" w:rsidR="001F77DD" w:rsidRDefault="001F77DD">
            <w:pPr>
              <w:tabs>
                <w:tab w:val="left" w:pos="612"/>
              </w:tabs>
              <w:ind w:left="342"/>
              <w:rPr>
                <w:rFonts w:ascii="Arial" w:hAnsi="Arial" w:cs="Arial"/>
              </w:rPr>
            </w:pPr>
          </w:p>
          <w:p w14:paraId="2A294196" w14:textId="77777777" w:rsidR="001F77DD" w:rsidRDefault="00D97F9C">
            <w:pPr>
              <w:pStyle w:val="ListParagraph"/>
              <w:numPr>
                <w:ilvl w:val="0"/>
                <w:numId w:val="31"/>
              </w:numPr>
              <w:tabs>
                <w:tab w:val="left" w:pos="612"/>
              </w:tabs>
              <w:ind w:left="342"/>
              <w:rPr>
                <w:rFonts w:ascii="Arial" w:hAnsi="Arial" w:cs="Arial"/>
              </w:rPr>
            </w:pPr>
            <w:r>
              <w:rPr>
                <w:rFonts w:ascii="Arial" w:eastAsia="Times New Roman" w:hAnsi="Arial" w:cs="Arial"/>
                <w:bCs/>
                <w:sz w:val="21"/>
                <w:szCs w:val="21"/>
              </w:rPr>
              <w:t>Jasno definisane zakonske nadležnosti i funkcije Agencije</w:t>
            </w:r>
            <w:r>
              <w:rPr>
                <w:rFonts w:ascii="Arial" w:eastAsia="Times New Roman" w:hAnsi="Arial" w:cs="Arial"/>
                <w:sz w:val="21"/>
                <w:szCs w:val="21"/>
              </w:rPr>
              <w:t xml:space="preserve"> u oblasti identifikacionih dokumenata, centralnih evidencija, personalizacije, razmjene podataka i informaciono-komunikacionih sistema.</w:t>
            </w:r>
          </w:p>
          <w:p w14:paraId="0BC5EB31" w14:textId="77777777" w:rsidR="001F77DD" w:rsidRDefault="00D97F9C">
            <w:pPr>
              <w:pStyle w:val="ListParagraph"/>
              <w:numPr>
                <w:ilvl w:val="0"/>
                <w:numId w:val="31"/>
              </w:numPr>
              <w:tabs>
                <w:tab w:val="left" w:pos="612"/>
              </w:tabs>
              <w:ind w:left="342"/>
              <w:rPr>
                <w:rFonts w:ascii="Arial" w:hAnsi="Arial" w:cs="Arial"/>
              </w:rPr>
            </w:pPr>
            <w:r>
              <w:rPr>
                <w:rFonts w:ascii="Arial" w:eastAsia="Times New Roman" w:hAnsi="Arial" w:cs="Arial"/>
                <w:bCs/>
                <w:sz w:val="21"/>
                <w:szCs w:val="21"/>
              </w:rPr>
              <w:t>Visok nivo stručnih i tehničkih kompetencija</w:t>
            </w:r>
            <w:r>
              <w:rPr>
                <w:rFonts w:ascii="Arial" w:eastAsia="Times New Roman" w:hAnsi="Arial" w:cs="Arial"/>
                <w:sz w:val="21"/>
                <w:szCs w:val="21"/>
              </w:rPr>
              <w:t xml:space="preserve"> zaposlenih u oblastima informacionih tehnologija, personalizacije, evidencija, mreža i drugih specijalističkih poslova.</w:t>
            </w:r>
          </w:p>
          <w:p w14:paraId="42DC6628" w14:textId="77777777" w:rsidR="001F77DD" w:rsidRDefault="00D97F9C">
            <w:pPr>
              <w:pStyle w:val="ListParagraph"/>
              <w:numPr>
                <w:ilvl w:val="0"/>
                <w:numId w:val="31"/>
              </w:numPr>
              <w:tabs>
                <w:tab w:val="left" w:pos="612"/>
              </w:tabs>
              <w:ind w:left="342"/>
              <w:rPr>
                <w:rFonts w:ascii="Arial" w:hAnsi="Arial" w:cs="Arial"/>
              </w:rPr>
            </w:pPr>
            <w:r>
              <w:rPr>
                <w:rFonts w:ascii="Arial" w:eastAsia="Times New Roman" w:hAnsi="Arial" w:cs="Arial"/>
                <w:bCs/>
                <w:sz w:val="21"/>
                <w:szCs w:val="21"/>
              </w:rPr>
              <w:t>Razvijena tehnička i informaciona infrastruktura</w:t>
            </w:r>
            <w:r>
              <w:rPr>
                <w:rFonts w:ascii="Arial" w:eastAsia="Times New Roman" w:hAnsi="Arial" w:cs="Arial"/>
                <w:sz w:val="21"/>
                <w:szCs w:val="21"/>
              </w:rPr>
              <w:t xml:space="preserve"> za izvršavanje ključnih funkcija Agencije.</w:t>
            </w:r>
          </w:p>
          <w:p w14:paraId="1C47DE95" w14:textId="77777777" w:rsidR="001F77DD" w:rsidRDefault="00D97F9C">
            <w:pPr>
              <w:pStyle w:val="ListParagraph"/>
              <w:numPr>
                <w:ilvl w:val="0"/>
                <w:numId w:val="31"/>
              </w:numPr>
              <w:tabs>
                <w:tab w:val="left" w:pos="612"/>
              </w:tabs>
              <w:ind w:left="342"/>
              <w:rPr>
                <w:rFonts w:ascii="Arial" w:hAnsi="Arial" w:cs="Arial"/>
              </w:rPr>
            </w:pPr>
            <w:r>
              <w:rPr>
                <w:rFonts w:ascii="Arial" w:eastAsia="Times New Roman" w:hAnsi="Arial" w:cs="Arial"/>
                <w:bCs/>
                <w:sz w:val="21"/>
                <w:szCs w:val="21"/>
              </w:rPr>
              <w:lastRenderedPageBreak/>
              <w:t>Iskustvo u upravljanju velikim i kompleksnim informacionim sistemima</w:t>
            </w:r>
            <w:r>
              <w:rPr>
                <w:rFonts w:ascii="Arial" w:eastAsia="Times New Roman" w:hAnsi="Arial" w:cs="Arial"/>
                <w:sz w:val="21"/>
                <w:szCs w:val="21"/>
              </w:rPr>
              <w:t xml:space="preserve"> od značaja za institucije i građane BiH.</w:t>
            </w:r>
          </w:p>
          <w:p w14:paraId="0C32A9A3" w14:textId="77777777" w:rsidR="001F77DD" w:rsidRDefault="00D97F9C">
            <w:pPr>
              <w:pStyle w:val="ListParagraph"/>
              <w:numPr>
                <w:ilvl w:val="0"/>
                <w:numId w:val="31"/>
              </w:numPr>
              <w:tabs>
                <w:tab w:val="left" w:pos="612"/>
              </w:tabs>
              <w:ind w:left="342"/>
              <w:rPr>
                <w:rFonts w:ascii="Arial" w:hAnsi="Arial" w:cs="Arial"/>
              </w:rPr>
            </w:pPr>
            <w:r>
              <w:rPr>
                <w:rFonts w:ascii="Arial" w:eastAsia="Times New Roman" w:hAnsi="Arial" w:cs="Arial"/>
                <w:bCs/>
                <w:sz w:val="21"/>
                <w:szCs w:val="21"/>
              </w:rPr>
              <w:t>Kontinuitet i iskustvo u proizvodnji, personalizaciji, skladištenju i transportu identifikacionih dokumenata.</w:t>
            </w:r>
          </w:p>
          <w:p w14:paraId="0EA28BD7" w14:textId="77777777" w:rsidR="001F77DD" w:rsidRDefault="00D97F9C">
            <w:pPr>
              <w:pStyle w:val="ListParagraph"/>
              <w:numPr>
                <w:ilvl w:val="0"/>
                <w:numId w:val="31"/>
              </w:numPr>
              <w:tabs>
                <w:tab w:val="left" w:pos="612"/>
              </w:tabs>
              <w:ind w:left="342"/>
              <w:rPr>
                <w:rFonts w:ascii="Arial" w:hAnsi="Arial" w:cs="Arial"/>
              </w:rPr>
            </w:pPr>
            <w:r>
              <w:rPr>
                <w:rFonts w:ascii="Arial" w:eastAsia="Times New Roman" w:hAnsi="Arial" w:cs="Arial"/>
                <w:bCs/>
                <w:sz w:val="21"/>
                <w:szCs w:val="21"/>
              </w:rPr>
              <w:t>Postojanje organizacionih jedinica i regionalnih centara koji omogućavaju izvršavanje funkcija Agencije na više lokacija.</w:t>
            </w:r>
          </w:p>
          <w:p w14:paraId="0CDB5E5F" w14:textId="77777777" w:rsidR="001F77DD" w:rsidRDefault="00D97F9C">
            <w:pPr>
              <w:pStyle w:val="ListParagraph"/>
              <w:numPr>
                <w:ilvl w:val="0"/>
                <w:numId w:val="31"/>
              </w:numPr>
              <w:tabs>
                <w:tab w:val="left" w:pos="612"/>
              </w:tabs>
              <w:ind w:left="342"/>
              <w:rPr>
                <w:rFonts w:ascii="Arial" w:hAnsi="Arial" w:cs="Arial"/>
              </w:rPr>
            </w:pPr>
            <w:r>
              <w:rPr>
                <w:rFonts w:ascii="Arial" w:eastAsia="Times New Roman" w:hAnsi="Arial" w:cs="Arial"/>
                <w:bCs/>
                <w:sz w:val="21"/>
                <w:szCs w:val="21"/>
              </w:rPr>
              <w:t>Preduzete aktivnosti na izgradnji administrativno-proizvodnog objekta u Banjaluci</w:t>
            </w:r>
            <w:r>
              <w:rPr>
                <w:rFonts w:ascii="Arial" w:eastAsia="Times New Roman" w:hAnsi="Arial" w:cs="Arial"/>
                <w:sz w:val="21"/>
                <w:szCs w:val="21"/>
              </w:rPr>
              <w:t>, uključujući donošenje relevantne odluke Vijeća ministara BiH.</w:t>
            </w:r>
          </w:p>
          <w:p w14:paraId="56C01CE1" w14:textId="77777777" w:rsidR="001F77DD" w:rsidRDefault="00D97F9C">
            <w:pPr>
              <w:pStyle w:val="ListParagraph"/>
              <w:numPr>
                <w:ilvl w:val="0"/>
                <w:numId w:val="31"/>
              </w:numPr>
              <w:tabs>
                <w:tab w:val="left" w:pos="612"/>
              </w:tabs>
              <w:ind w:left="342"/>
              <w:rPr>
                <w:rFonts w:ascii="Arial" w:hAnsi="Arial" w:cs="Arial"/>
              </w:rPr>
            </w:pPr>
            <w:r>
              <w:rPr>
                <w:rFonts w:ascii="Arial" w:eastAsia="Times New Roman" w:hAnsi="Arial" w:cs="Arial"/>
                <w:bCs/>
                <w:sz w:val="21"/>
                <w:szCs w:val="21"/>
              </w:rPr>
              <w:t>Iskustvo u realizaciji kompleksnih javnih nabavki i projekata iz oblasti ICT-a, infrastrukture i identifikacionih dokumenata.</w:t>
            </w:r>
          </w:p>
          <w:p w14:paraId="2320D0B0" w14:textId="77777777" w:rsidR="001F77DD" w:rsidRDefault="00D97F9C">
            <w:pPr>
              <w:pStyle w:val="ListParagraph"/>
              <w:numPr>
                <w:ilvl w:val="0"/>
                <w:numId w:val="31"/>
              </w:numPr>
              <w:tabs>
                <w:tab w:val="left" w:pos="612"/>
              </w:tabs>
              <w:ind w:left="342"/>
              <w:rPr>
                <w:rFonts w:ascii="Arial" w:hAnsi="Arial" w:cs="Arial"/>
              </w:rPr>
            </w:pPr>
            <w:r>
              <w:rPr>
                <w:rFonts w:ascii="Arial" w:eastAsia="Times New Roman" w:hAnsi="Arial" w:cs="Arial"/>
                <w:bCs/>
                <w:sz w:val="21"/>
                <w:szCs w:val="21"/>
              </w:rPr>
              <w:t>Strateški značaj Agencije za sigurnost identifikacionih dokumenata, centralnih evidencija i razmjenu podataka.</w:t>
            </w:r>
          </w:p>
          <w:p w14:paraId="3CF2A776" w14:textId="77777777" w:rsidR="001F77DD" w:rsidRDefault="00D97F9C">
            <w:pPr>
              <w:pStyle w:val="ListParagraph"/>
              <w:numPr>
                <w:ilvl w:val="0"/>
                <w:numId w:val="31"/>
              </w:numPr>
              <w:tabs>
                <w:tab w:val="left" w:pos="612"/>
              </w:tabs>
              <w:ind w:left="342"/>
              <w:rPr>
                <w:rFonts w:ascii="Arial" w:hAnsi="Arial" w:cs="Arial"/>
              </w:rPr>
            </w:pPr>
            <w:r>
              <w:rPr>
                <w:rFonts w:ascii="Arial" w:eastAsia="Times New Roman" w:hAnsi="Arial" w:cs="Arial"/>
                <w:bCs/>
                <w:sz w:val="21"/>
                <w:szCs w:val="21"/>
              </w:rPr>
              <w:t>Mogućnost razvoja i primjene savremenih tehnologija</w:t>
            </w:r>
            <w:r>
              <w:rPr>
                <w:rFonts w:ascii="Arial" w:eastAsia="Times New Roman" w:hAnsi="Arial" w:cs="Arial"/>
                <w:sz w:val="21"/>
                <w:szCs w:val="21"/>
              </w:rPr>
              <w:t xml:space="preserve"> u oblastima digitalnog identiteta, PKI, cyber sigurnosti, mreža i upravljanja podacima.</w:t>
            </w:r>
          </w:p>
          <w:p w14:paraId="440F2432" w14:textId="77777777" w:rsidR="001F77DD" w:rsidRDefault="00D97F9C">
            <w:pPr>
              <w:pStyle w:val="ListParagraph"/>
              <w:numPr>
                <w:ilvl w:val="0"/>
                <w:numId w:val="31"/>
              </w:numPr>
              <w:tabs>
                <w:tab w:val="left" w:pos="612"/>
              </w:tabs>
              <w:ind w:left="342"/>
              <w:rPr>
                <w:rFonts w:ascii="Arial" w:hAnsi="Arial" w:cs="Arial"/>
              </w:rPr>
            </w:pPr>
            <w:r>
              <w:rPr>
                <w:rFonts w:ascii="Arial" w:eastAsia="Times New Roman" w:hAnsi="Arial" w:cs="Arial"/>
                <w:bCs/>
                <w:sz w:val="21"/>
                <w:szCs w:val="21"/>
              </w:rPr>
              <w:t>Postojanje institucionalnog iskustva i saradnje sa domaćim i međunarodnim partnerima.</w:t>
            </w:r>
          </w:p>
          <w:p w14:paraId="13EC7333" w14:textId="77777777" w:rsidR="001F77DD" w:rsidRDefault="001F77DD">
            <w:pPr>
              <w:tabs>
                <w:tab w:val="left" w:pos="612"/>
              </w:tabs>
              <w:ind w:left="342"/>
              <w:rPr>
                <w:rFonts w:ascii="Arial" w:hAnsi="Arial" w:cs="Arial"/>
              </w:rPr>
            </w:pPr>
          </w:p>
          <w:p w14:paraId="710C279E" w14:textId="77777777" w:rsidR="001F77DD" w:rsidRDefault="001F77DD">
            <w:pPr>
              <w:tabs>
                <w:tab w:val="left" w:pos="612"/>
              </w:tabs>
              <w:ind w:left="342"/>
              <w:rPr>
                <w:rFonts w:ascii="Arial" w:hAnsi="Arial" w:cs="Arial"/>
              </w:rPr>
            </w:pPr>
          </w:p>
        </w:tc>
        <w:tc>
          <w:tcPr>
            <w:tcW w:w="4675" w:type="dxa"/>
          </w:tcPr>
          <w:p w14:paraId="7A58CC29" w14:textId="77777777" w:rsidR="001F77DD" w:rsidRDefault="00D97F9C">
            <w:pPr>
              <w:rPr>
                <w:rFonts w:ascii="Arial" w:hAnsi="Arial" w:cs="Arial"/>
                <w:b/>
              </w:rPr>
            </w:pPr>
            <w:r>
              <w:rPr>
                <w:rFonts w:ascii="Arial" w:hAnsi="Arial" w:cs="Arial"/>
                <w:b/>
              </w:rPr>
              <w:lastRenderedPageBreak/>
              <w:t>SLABOSTI</w:t>
            </w:r>
          </w:p>
          <w:p w14:paraId="3B9D3329" w14:textId="77777777" w:rsidR="001F77DD" w:rsidRDefault="001F77DD">
            <w:pPr>
              <w:rPr>
                <w:rFonts w:ascii="Arial" w:hAnsi="Arial" w:cs="Arial"/>
              </w:rPr>
            </w:pPr>
          </w:p>
          <w:p w14:paraId="18C085E3"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Nedovoljni ljudski kapaciteti u odnosu na stvarne potrebe poslovnih procesa, posebno u specijalističkim oblastima.</w:t>
            </w:r>
          </w:p>
          <w:p w14:paraId="2CDD0EB6"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Važeći Pravilnik o unutrašnjoj organizaciji ne odražava u potpunosti stvarne potrebe i složenost poslovnih procesa Agencije.</w:t>
            </w:r>
          </w:p>
          <w:p w14:paraId="378A2D44"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Ograničena mogućnost privlačenja i zadržavanja stručnog IT, cyber, PKI i drugog specijalističkog kadra zbog nekonkurentnih primanja u odnosu na tržište rada.</w:t>
            </w:r>
          </w:p>
          <w:p w14:paraId="4AF758AD"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lastRenderedPageBreak/>
              <w:t>Zavisnost od budžetskih ograničenja i gornje granice rashoda, što otežava pravovremeno obnavljanje opreme i razvoj infrastrukture.</w:t>
            </w:r>
          </w:p>
          <w:p w14:paraId="0E11CFEC"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Zastarijevanje dijela tehničke opreme usljed ograničenih mogućnosti redovne obnove i modernizacije.</w:t>
            </w:r>
          </w:p>
          <w:p w14:paraId="5C6259DD"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Neriješeno pitanje trajnog smještaja sjedišta i pojedinih organizacionih jedinica, uključujući regionalne centre.</w:t>
            </w:r>
          </w:p>
          <w:p w14:paraId="441E57EA"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Oslanjanje na zakupljene poslovne prostore, što povećava dugoročnu finansijsku i operativnu zavisnost.</w:t>
            </w:r>
          </w:p>
          <w:p w14:paraId="5B1F83AC"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Rezervna lokacija još nije u potpunosti operativna i tehnički osposobljena za sve ključne funkcije.</w:t>
            </w:r>
          </w:p>
          <w:p w14:paraId="630B4B41"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Ograničena fleksibilnost u planiranju i realizaciji kapitalnih ulaganja tokom perioda privremenog finansiranja.</w:t>
            </w:r>
          </w:p>
          <w:p w14:paraId="4352DA6C"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Ograničena mogućnost samostalnog uticaja na nivo raspoloživih finansijskih sredstava.</w:t>
            </w:r>
          </w:p>
          <w:p w14:paraId="5C924AF5"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Visoka zavisnost ključnih poslovnih procesa od kontinuirane dostupnosti IT infrastrukture i specijalizovane opreme.</w:t>
            </w:r>
          </w:p>
          <w:p w14:paraId="73527E27"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Rizik gubitka ključnog institucionalnog znanja usljed odlaska ili penzionisanja stručnog kadra, uz nedovoljno razvijene mehanizme sukcesij</w:t>
            </w:r>
            <w:r>
              <w:rPr>
                <w:rFonts w:ascii="Arial" w:eastAsia="Times New Roman" w:hAnsi="Arial" w:cs="Arial"/>
                <w:bCs/>
                <w:sz w:val="21"/>
                <w:szCs w:val="21"/>
              </w:rPr>
              <w:t>e.</w:t>
            </w:r>
          </w:p>
        </w:tc>
      </w:tr>
      <w:tr w:rsidR="001F77DD" w14:paraId="45051B66" w14:textId="77777777">
        <w:tc>
          <w:tcPr>
            <w:tcW w:w="4675" w:type="dxa"/>
          </w:tcPr>
          <w:p w14:paraId="330AA609" w14:textId="3FA41E8E" w:rsidR="001F77DD" w:rsidRDefault="00D97F9C">
            <w:pPr>
              <w:rPr>
                <w:rFonts w:ascii="Arial" w:hAnsi="Arial" w:cs="Arial"/>
                <w:b/>
              </w:rPr>
            </w:pPr>
            <w:r>
              <w:rPr>
                <w:rFonts w:ascii="Arial" w:hAnsi="Arial" w:cs="Arial"/>
                <w:b/>
              </w:rPr>
              <w:lastRenderedPageBreak/>
              <w:t xml:space="preserve">PRILIKE </w:t>
            </w:r>
          </w:p>
          <w:p w14:paraId="163504E1" w14:textId="77777777" w:rsidR="001F77DD" w:rsidRDefault="001F77DD">
            <w:pPr>
              <w:rPr>
                <w:rFonts w:ascii="Arial" w:hAnsi="Arial" w:cs="Arial"/>
                <w:b/>
              </w:rPr>
            </w:pPr>
          </w:p>
          <w:p w14:paraId="3A90684F"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Dodatno zapošljavanje i reorganizacija radnih mjesta u skladu sa stvarnim potrebama poslovnih procesa Agencije.</w:t>
            </w:r>
          </w:p>
          <w:p w14:paraId="50FE6BA6"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Modernizacija i obnova IT opreme i infrastrukture kroz budžetska sredstva, višegodišnje kapitalne projekte i međunarodne fondove.</w:t>
            </w:r>
          </w:p>
          <w:p w14:paraId="4B74AE0C"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Izgradnja vlastitog administrativno-proizvodnog objekta u Banjaluci, čime bi se dugoročno riješilo pitanje smještaja ključnih organizacionih jedinica.</w:t>
            </w:r>
          </w:p>
          <w:p w14:paraId="5645EE08"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Uspostavljanje adekvatne rezervne lokacije i jačanje disaster recovery i business continuity kapaciteta.</w:t>
            </w:r>
          </w:p>
          <w:p w14:paraId="53C9836B"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Korištenje međunarodnih fondova i programa za razvoj digitalnog identiteta, cyber sigurnosti, interoperabilnosti, infrastrukture i drugih funkcija iz nadležnosti Agencije.</w:t>
            </w:r>
          </w:p>
          <w:p w14:paraId="74C389E4"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Razvoj digitalnog identiteta i elektronskih certifikata u okviru zakonskih nadležnosti Agencije i Uputstva 31/25.</w:t>
            </w:r>
          </w:p>
          <w:p w14:paraId="0C8DF0DC"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 xml:space="preserve">Buduća tehnička interoperabilnost sa evropskim rješenjima elektronske identifikacije </w:t>
            </w:r>
            <w:r>
              <w:rPr>
                <w:rFonts w:ascii="Arial" w:hAnsi="Arial" w:cs="Arial"/>
              </w:rPr>
              <w:lastRenderedPageBreak/>
              <w:t>i relevantnim evropskim tehničkim okvirima, pod uslovom odgovarajućih pravnih i institucionalnih pretpostavki.</w:t>
            </w:r>
          </w:p>
          <w:p w14:paraId="3C5DD34E"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Dalji razvoj eDataXChange platforme i standardizovanih mehanizama za sigurnu razmjenu podataka.</w:t>
            </w:r>
          </w:p>
          <w:p w14:paraId="768037B1"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Jačanje međunarodne stručne saradnje i razmjene znanja sa relevantnim institucijama i međunarodnim organizacijama.</w:t>
            </w:r>
          </w:p>
          <w:p w14:paraId="2FE571C5"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Razvoj novih generacija sigurnosnih elemenata i identifikacionih dokumenata u skladu sa ICAO standardima i tehnološkim razvojem.</w:t>
            </w:r>
          </w:p>
          <w:p w14:paraId="104A5EC6"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Uvođenje savremenih metoda upravljanja kvalitetom, rizicima, kontinuitetom poslovanja i cyber sigurnošću.</w:t>
            </w:r>
          </w:p>
          <w:p w14:paraId="10227AFE"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Razvoj programa stručnog usavršavanja, certifikacije i succession planninga za kritične IT, PKI, cyber, mrežne i DB pozicije.</w:t>
            </w:r>
          </w:p>
          <w:p w14:paraId="15D52A6F"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Mogućnost boljeg višegodišnjeg planiranja investicija kroz povezivanje strateških prioriteta sa budžetskim i kapitalnim planovima.</w:t>
            </w:r>
          </w:p>
          <w:p w14:paraId="2DC994BB"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Razvoj vlastitih prostornih kapaciteta omogućava bolje uslove za rad, sigurnost, kontinuitet i racionalizaciju dugoročnih troškova.</w:t>
            </w:r>
          </w:p>
        </w:tc>
        <w:tc>
          <w:tcPr>
            <w:tcW w:w="4675" w:type="dxa"/>
          </w:tcPr>
          <w:p w14:paraId="295B8A73" w14:textId="3310E236" w:rsidR="001F77DD" w:rsidRDefault="00D97F9C">
            <w:pPr>
              <w:rPr>
                <w:rFonts w:ascii="Arial" w:hAnsi="Arial" w:cs="Arial"/>
                <w:b/>
              </w:rPr>
            </w:pPr>
            <w:r>
              <w:rPr>
                <w:rFonts w:ascii="Arial" w:hAnsi="Arial" w:cs="Arial"/>
                <w:b/>
              </w:rPr>
              <w:lastRenderedPageBreak/>
              <w:t xml:space="preserve">PRIJETNJE </w:t>
            </w:r>
          </w:p>
          <w:p w14:paraId="29C2FC8C" w14:textId="77777777" w:rsidR="001F77DD" w:rsidRDefault="001F77DD">
            <w:pPr>
              <w:rPr>
                <w:rFonts w:ascii="Arial" w:hAnsi="Arial" w:cs="Arial"/>
                <w:b/>
              </w:rPr>
            </w:pPr>
          </w:p>
          <w:p w14:paraId="37DB2051"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Nedostatak stručnog IT, cyber, PKI i drugog specijalističkog kadra na tržištu rada.</w:t>
            </w:r>
          </w:p>
          <w:p w14:paraId="6C73824A"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Brz razvoj tehnologija i ubrzano zastarijevanje hardvera i softvera.</w:t>
            </w:r>
          </w:p>
          <w:p w14:paraId="265A39EF"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Ograničena gornja granica rashoda i nedovoljna budžetska sredstva u odnosu na realne potrebe Agencije.</w:t>
            </w:r>
          </w:p>
          <w:p w14:paraId="6E6D52C6"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Kašnjenje u usvajanju godišnjih budžeta i ponavljanje režima privremenog finansiranja.</w:t>
            </w:r>
          </w:p>
          <w:p w14:paraId="730D64AC"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Nemogućnost realizacije novih kapitalnih projekata i proširenja aktivnosti tokom privremenog finansiranja.</w:t>
            </w:r>
          </w:p>
          <w:p w14:paraId="63DC064E"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Povećanje cyber prijetnji i kompleksnosti napada na kritične informacione sisteme.</w:t>
            </w:r>
          </w:p>
          <w:p w14:paraId="0AEAC6DD"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Povećani zahtjevi za sigurnošću, zaštitom ličnih podataka i usklađenošću sa međunarodnim standardima.</w:t>
            </w:r>
          </w:p>
          <w:p w14:paraId="6BDBCEAB"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Zavisnost od drugih institucija i njihovih tehničkih kapaciteta kod interoperabilnosti i razmjene podataka.</w:t>
            </w:r>
          </w:p>
          <w:p w14:paraId="6A9473C6"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Poremećaji u lancima nabavke, posebno za specijalizovanu opremu i materijale potrebne za personalizaciju dokumenata.</w:t>
            </w:r>
          </w:p>
          <w:p w14:paraId="5C2A644B"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lastRenderedPageBreak/>
              <w:t>Rast cijena opreme, građevinskih radova, zakupa i drugih ključnih troškova.</w:t>
            </w:r>
          </w:p>
          <w:p w14:paraId="61568AA1"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Kašnjenja u postupcima javnih nabavki i realizaciji višegodišnjih kapitalnih projekata.</w:t>
            </w:r>
          </w:p>
          <w:p w14:paraId="50112638"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Mogući prekidi rada ili degradacija ključnih servisa usljed kvarova, katastrofa, cyber incidenata ili drugih vanrednih događaja.</w:t>
            </w:r>
          </w:p>
          <w:p w14:paraId="3CF4031E"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Odlazak ključnih stručnjaka u privatni sektor zbog boljih uslova rada i većih primanja.</w:t>
            </w:r>
          </w:p>
          <w:p w14:paraId="78286864" w14:textId="77777777" w:rsidR="001F77DD" w:rsidRDefault="00D97F9C">
            <w:pPr>
              <w:pStyle w:val="ListParagraph"/>
              <w:numPr>
                <w:ilvl w:val="0"/>
                <w:numId w:val="31"/>
              </w:numPr>
              <w:tabs>
                <w:tab w:val="left" w:pos="612"/>
              </w:tabs>
              <w:ind w:left="342"/>
              <w:rPr>
                <w:rFonts w:ascii="Arial" w:hAnsi="Arial" w:cs="Arial"/>
              </w:rPr>
            </w:pPr>
            <w:r>
              <w:rPr>
                <w:rFonts w:ascii="Arial" w:hAnsi="Arial" w:cs="Arial"/>
              </w:rPr>
              <w:t>Administrativna i regulatorna ograničenja koja mogu usporiti reorganizaciju, zapošljavanje ili realizaciju razvojnih projekata.</w:t>
            </w:r>
          </w:p>
          <w:p w14:paraId="4139C402" w14:textId="77777777" w:rsidR="001F77DD" w:rsidRDefault="001F77DD">
            <w:pPr>
              <w:rPr>
                <w:rFonts w:ascii="Arial" w:hAnsi="Arial" w:cs="Arial"/>
              </w:rPr>
            </w:pPr>
          </w:p>
        </w:tc>
      </w:tr>
    </w:tbl>
    <w:p w14:paraId="77D35E6B" w14:textId="77777777" w:rsidR="001F77DD" w:rsidRDefault="001F77DD">
      <w:pPr>
        <w:rPr>
          <w:rFonts w:ascii="Arial" w:hAnsi="Arial" w:cs="Arial"/>
        </w:rPr>
      </w:pPr>
    </w:p>
    <w:p w14:paraId="1DB35DEC" w14:textId="10936848" w:rsidR="001F77DD" w:rsidRDefault="001F77DD">
      <w:pPr>
        <w:spacing w:line="360" w:lineRule="auto"/>
        <w:jc w:val="both"/>
        <w:rPr>
          <w:rFonts w:ascii="Arial" w:eastAsia="Calibri" w:hAnsi="Arial" w:cs="Arial"/>
          <w:color w:val="C00000"/>
          <w:sz w:val="20"/>
          <w:szCs w:val="20"/>
          <w:lang w:val="sr-Latn-BA"/>
        </w:rPr>
      </w:pPr>
    </w:p>
    <w:p w14:paraId="10AF708C" w14:textId="18B992E9" w:rsidR="001F77DD" w:rsidRDefault="00D97F9C">
      <w:pPr>
        <w:spacing w:line="360" w:lineRule="auto"/>
        <w:ind w:left="426"/>
        <w:jc w:val="both"/>
        <w:rPr>
          <w:rFonts w:ascii="Arial" w:eastAsia="Calibri" w:hAnsi="Arial" w:cs="Arial"/>
          <w:b/>
          <w:sz w:val="20"/>
          <w:szCs w:val="20"/>
          <w:lang w:val="sr-Latn-BA"/>
        </w:rPr>
      </w:pPr>
      <w:r>
        <w:rPr>
          <w:rFonts w:ascii="Arial" w:eastAsia="Calibri" w:hAnsi="Arial" w:cs="Arial"/>
          <w:b/>
          <w:sz w:val="20"/>
          <w:szCs w:val="20"/>
          <w:lang w:val="sr-Latn-BA"/>
        </w:rPr>
        <w:t xml:space="preserve">4.2. Strateški Rrzici </w:t>
      </w:r>
    </w:p>
    <w:p w14:paraId="357D7809" w14:textId="77777777" w:rsidR="001F77DD" w:rsidRDefault="00D97F9C">
      <w:pPr>
        <w:pStyle w:val="ListParagraph"/>
        <w:numPr>
          <w:ilvl w:val="0"/>
          <w:numId w:val="18"/>
        </w:numPr>
        <w:spacing w:line="360" w:lineRule="auto"/>
        <w:ind w:left="450"/>
        <w:jc w:val="both"/>
        <w:rPr>
          <w:rFonts w:ascii="Arial" w:hAnsi="Arial" w:cs="Arial"/>
          <w:sz w:val="20"/>
          <w:szCs w:val="20"/>
          <w:lang w:val="sr-Latn-BA"/>
        </w:rPr>
      </w:pPr>
      <w:r>
        <w:rPr>
          <w:rFonts w:ascii="Arial" w:hAnsi="Arial" w:cs="Arial"/>
          <w:sz w:val="20"/>
          <w:szCs w:val="20"/>
          <w:lang w:val="sr-Latn-BA"/>
        </w:rPr>
        <w:t>nedostatak stručnog IT/PKI/cyber kadra;</w:t>
      </w:r>
    </w:p>
    <w:p w14:paraId="2972CE8F" w14:textId="77777777" w:rsidR="001F77DD" w:rsidRDefault="00D97F9C">
      <w:pPr>
        <w:pStyle w:val="ListParagraph"/>
        <w:numPr>
          <w:ilvl w:val="0"/>
          <w:numId w:val="18"/>
        </w:numPr>
        <w:spacing w:line="360" w:lineRule="auto"/>
        <w:ind w:left="450"/>
        <w:jc w:val="both"/>
        <w:rPr>
          <w:rFonts w:ascii="Arial" w:hAnsi="Arial" w:cs="Arial"/>
          <w:sz w:val="20"/>
          <w:szCs w:val="20"/>
          <w:lang w:val="sr-Latn-BA"/>
        </w:rPr>
      </w:pPr>
      <w:r>
        <w:rPr>
          <w:rFonts w:ascii="Arial" w:hAnsi="Arial" w:cs="Arial"/>
          <w:sz w:val="20"/>
          <w:szCs w:val="20"/>
          <w:lang w:val="sr-Latn-BA"/>
        </w:rPr>
        <w:t>vendor lock-in;</w:t>
      </w:r>
    </w:p>
    <w:p w14:paraId="346AFCE5" w14:textId="77777777" w:rsidR="001F77DD" w:rsidRDefault="00D97F9C">
      <w:pPr>
        <w:pStyle w:val="ListParagraph"/>
        <w:numPr>
          <w:ilvl w:val="0"/>
          <w:numId w:val="18"/>
        </w:numPr>
        <w:spacing w:line="360" w:lineRule="auto"/>
        <w:ind w:left="450"/>
        <w:jc w:val="both"/>
        <w:rPr>
          <w:rFonts w:ascii="Arial" w:hAnsi="Arial" w:cs="Arial"/>
          <w:sz w:val="20"/>
          <w:szCs w:val="20"/>
          <w:lang w:val="sr-Latn-BA"/>
        </w:rPr>
      </w:pPr>
      <w:r>
        <w:rPr>
          <w:rFonts w:ascii="Arial" w:hAnsi="Arial" w:cs="Arial"/>
          <w:sz w:val="20"/>
          <w:szCs w:val="20"/>
          <w:lang w:val="sr-Latn-BA"/>
        </w:rPr>
        <w:t>zastarijevanje opreme;</w:t>
      </w:r>
    </w:p>
    <w:p w14:paraId="0774B8D5" w14:textId="77777777" w:rsidR="001F77DD" w:rsidRDefault="00D97F9C">
      <w:pPr>
        <w:pStyle w:val="ListParagraph"/>
        <w:numPr>
          <w:ilvl w:val="0"/>
          <w:numId w:val="18"/>
        </w:numPr>
        <w:spacing w:line="360" w:lineRule="auto"/>
        <w:ind w:left="450"/>
        <w:jc w:val="both"/>
        <w:rPr>
          <w:rFonts w:ascii="Arial" w:hAnsi="Arial" w:cs="Arial"/>
          <w:sz w:val="20"/>
          <w:szCs w:val="20"/>
          <w:lang w:val="sr-Latn-BA"/>
        </w:rPr>
      </w:pPr>
      <w:r>
        <w:rPr>
          <w:rFonts w:ascii="Arial" w:hAnsi="Arial" w:cs="Arial"/>
          <w:sz w:val="20"/>
          <w:szCs w:val="20"/>
          <w:lang w:val="sr-Latn-BA"/>
        </w:rPr>
        <w:t>cyber napadi;</w:t>
      </w:r>
    </w:p>
    <w:p w14:paraId="23E37C7A" w14:textId="77777777" w:rsidR="001F77DD" w:rsidRDefault="00D97F9C">
      <w:pPr>
        <w:pStyle w:val="ListParagraph"/>
        <w:numPr>
          <w:ilvl w:val="0"/>
          <w:numId w:val="18"/>
        </w:numPr>
        <w:spacing w:line="360" w:lineRule="auto"/>
        <w:ind w:left="450"/>
        <w:jc w:val="both"/>
        <w:rPr>
          <w:rFonts w:ascii="Arial" w:hAnsi="Arial" w:cs="Arial"/>
          <w:sz w:val="20"/>
          <w:szCs w:val="20"/>
          <w:lang w:val="sr-Latn-BA"/>
        </w:rPr>
      </w:pPr>
      <w:r>
        <w:rPr>
          <w:rFonts w:ascii="Arial" w:hAnsi="Arial" w:cs="Arial"/>
          <w:sz w:val="20"/>
          <w:szCs w:val="20"/>
          <w:lang w:val="sr-Latn-BA"/>
        </w:rPr>
        <w:t>prekid komunikacija;</w:t>
      </w:r>
    </w:p>
    <w:p w14:paraId="692B1787" w14:textId="77777777" w:rsidR="001F77DD" w:rsidRDefault="00D97F9C">
      <w:pPr>
        <w:pStyle w:val="ListParagraph"/>
        <w:numPr>
          <w:ilvl w:val="0"/>
          <w:numId w:val="18"/>
        </w:numPr>
        <w:spacing w:line="360" w:lineRule="auto"/>
        <w:ind w:left="450"/>
        <w:jc w:val="both"/>
        <w:rPr>
          <w:rFonts w:ascii="Arial" w:hAnsi="Arial" w:cs="Arial"/>
          <w:sz w:val="20"/>
          <w:szCs w:val="20"/>
          <w:lang w:val="sr-Latn-BA"/>
        </w:rPr>
      </w:pPr>
      <w:r>
        <w:rPr>
          <w:rFonts w:ascii="Arial" w:hAnsi="Arial" w:cs="Arial"/>
          <w:sz w:val="20"/>
          <w:szCs w:val="20"/>
          <w:lang w:val="sr-Latn-BA"/>
        </w:rPr>
        <w:t>prekid personalizacije;</w:t>
      </w:r>
    </w:p>
    <w:p w14:paraId="353293A0" w14:textId="77777777" w:rsidR="001F77DD" w:rsidRDefault="00D97F9C">
      <w:pPr>
        <w:pStyle w:val="ListParagraph"/>
        <w:numPr>
          <w:ilvl w:val="0"/>
          <w:numId w:val="18"/>
        </w:numPr>
        <w:spacing w:line="360" w:lineRule="auto"/>
        <w:ind w:left="450"/>
        <w:jc w:val="both"/>
        <w:rPr>
          <w:rFonts w:ascii="Arial" w:hAnsi="Arial" w:cs="Arial"/>
          <w:sz w:val="20"/>
          <w:szCs w:val="20"/>
          <w:lang w:val="sr-Latn-BA"/>
        </w:rPr>
      </w:pPr>
      <w:r>
        <w:rPr>
          <w:rFonts w:ascii="Arial" w:hAnsi="Arial" w:cs="Arial"/>
          <w:sz w:val="20"/>
          <w:szCs w:val="20"/>
          <w:lang w:val="sr-Latn-BA"/>
        </w:rPr>
        <w:t>kompromitacija PKI;</w:t>
      </w:r>
    </w:p>
    <w:p w14:paraId="70562515" w14:textId="77777777" w:rsidR="001F77DD" w:rsidRDefault="00D97F9C">
      <w:pPr>
        <w:pStyle w:val="ListParagraph"/>
        <w:numPr>
          <w:ilvl w:val="0"/>
          <w:numId w:val="18"/>
        </w:numPr>
        <w:spacing w:line="360" w:lineRule="auto"/>
        <w:ind w:left="450"/>
        <w:jc w:val="both"/>
        <w:rPr>
          <w:rFonts w:ascii="Arial" w:hAnsi="Arial" w:cs="Arial"/>
          <w:sz w:val="20"/>
          <w:szCs w:val="20"/>
          <w:lang w:val="sr-Latn-BA"/>
        </w:rPr>
      </w:pPr>
      <w:r>
        <w:rPr>
          <w:rFonts w:ascii="Arial" w:hAnsi="Arial" w:cs="Arial"/>
          <w:sz w:val="20"/>
          <w:szCs w:val="20"/>
          <w:lang w:val="sr-Latn-BA"/>
        </w:rPr>
        <w:t>nedovoljna DR lokacija;</w:t>
      </w:r>
    </w:p>
    <w:p w14:paraId="33D98D2B" w14:textId="77777777" w:rsidR="001F77DD" w:rsidRDefault="00D97F9C">
      <w:pPr>
        <w:pStyle w:val="ListParagraph"/>
        <w:numPr>
          <w:ilvl w:val="0"/>
          <w:numId w:val="18"/>
        </w:numPr>
        <w:spacing w:line="360" w:lineRule="auto"/>
        <w:ind w:left="450"/>
        <w:jc w:val="both"/>
        <w:rPr>
          <w:rFonts w:ascii="Arial" w:hAnsi="Arial" w:cs="Arial"/>
          <w:sz w:val="20"/>
          <w:szCs w:val="20"/>
          <w:lang w:val="sr-Latn-BA"/>
        </w:rPr>
      </w:pPr>
      <w:r>
        <w:rPr>
          <w:rFonts w:ascii="Arial" w:hAnsi="Arial" w:cs="Arial"/>
          <w:sz w:val="20"/>
          <w:szCs w:val="20"/>
          <w:lang w:val="sr-Latn-BA"/>
        </w:rPr>
        <w:t>neusklađene integracije;</w:t>
      </w:r>
    </w:p>
    <w:p w14:paraId="3C096BE2" w14:textId="77777777" w:rsidR="001F77DD" w:rsidRDefault="00D97F9C">
      <w:pPr>
        <w:pStyle w:val="ListParagraph"/>
        <w:numPr>
          <w:ilvl w:val="0"/>
          <w:numId w:val="18"/>
        </w:numPr>
        <w:spacing w:line="360" w:lineRule="auto"/>
        <w:ind w:left="450"/>
        <w:jc w:val="both"/>
        <w:rPr>
          <w:rFonts w:ascii="Arial" w:hAnsi="Arial" w:cs="Arial"/>
          <w:sz w:val="20"/>
          <w:szCs w:val="20"/>
          <w:lang w:val="sr-Latn-BA"/>
        </w:rPr>
      </w:pPr>
      <w:r>
        <w:rPr>
          <w:rFonts w:ascii="Arial" w:hAnsi="Arial" w:cs="Arial"/>
          <w:sz w:val="20"/>
          <w:szCs w:val="20"/>
          <w:lang w:val="sr-Latn-BA"/>
        </w:rPr>
        <w:t>pravne promjene;</w:t>
      </w:r>
    </w:p>
    <w:p w14:paraId="507C9EF5" w14:textId="77777777" w:rsidR="001F77DD" w:rsidRDefault="00D97F9C">
      <w:pPr>
        <w:pStyle w:val="ListParagraph"/>
        <w:numPr>
          <w:ilvl w:val="0"/>
          <w:numId w:val="18"/>
        </w:numPr>
        <w:spacing w:line="360" w:lineRule="auto"/>
        <w:ind w:left="450"/>
        <w:jc w:val="both"/>
        <w:rPr>
          <w:rFonts w:ascii="Arial" w:hAnsi="Arial" w:cs="Arial"/>
          <w:sz w:val="20"/>
          <w:szCs w:val="20"/>
          <w:lang w:val="sr-Latn-BA"/>
        </w:rPr>
      </w:pPr>
      <w:r>
        <w:rPr>
          <w:rFonts w:ascii="Arial" w:hAnsi="Arial" w:cs="Arial"/>
          <w:sz w:val="20"/>
          <w:szCs w:val="20"/>
          <w:lang w:val="sr-Latn-BA"/>
        </w:rPr>
        <w:t>budžetska ograničenja;</w:t>
      </w:r>
    </w:p>
    <w:p w14:paraId="261F09C1" w14:textId="599330D4" w:rsidR="001F77DD" w:rsidRDefault="00D97F9C">
      <w:pPr>
        <w:pStyle w:val="ListParagraph"/>
        <w:numPr>
          <w:ilvl w:val="0"/>
          <w:numId w:val="18"/>
        </w:numPr>
        <w:spacing w:line="360" w:lineRule="auto"/>
        <w:ind w:left="450"/>
        <w:jc w:val="both"/>
        <w:rPr>
          <w:rFonts w:ascii="Arial" w:hAnsi="Arial" w:cs="Arial"/>
          <w:sz w:val="20"/>
          <w:szCs w:val="20"/>
          <w:lang w:val="sr-Latn-BA"/>
        </w:rPr>
      </w:pPr>
      <w:r>
        <w:rPr>
          <w:rFonts w:ascii="Arial" w:hAnsi="Arial" w:cs="Arial"/>
          <w:sz w:val="20"/>
          <w:szCs w:val="20"/>
          <w:lang w:val="sr-Latn-BA"/>
        </w:rPr>
        <w:t>rizik dobavljačkog lanca.</w:t>
      </w:r>
    </w:p>
    <w:p w14:paraId="7EC514C5" w14:textId="450E2463" w:rsidR="001F77DD" w:rsidRDefault="001F77DD">
      <w:pPr>
        <w:pStyle w:val="ListParagraph"/>
        <w:spacing w:line="360" w:lineRule="auto"/>
        <w:ind w:left="450"/>
        <w:jc w:val="both"/>
        <w:rPr>
          <w:rFonts w:ascii="Arial" w:hAnsi="Arial" w:cs="Arial"/>
          <w:sz w:val="20"/>
          <w:szCs w:val="20"/>
          <w:lang w:val="sr-Latn-BA"/>
        </w:rPr>
      </w:pPr>
    </w:p>
    <w:p w14:paraId="4A96C4A1" w14:textId="77777777" w:rsidR="001F77DD" w:rsidRDefault="001F77DD">
      <w:pPr>
        <w:pStyle w:val="ListParagraph"/>
        <w:spacing w:line="360" w:lineRule="auto"/>
        <w:ind w:left="450"/>
        <w:jc w:val="both"/>
        <w:rPr>
          <w:rFonts w:ascii="Arial" w:hAnsi="Arial" w:cs="Arial"/>
          <w:sz w:val="20"/>
          <w:szCs w:val="20"/>
          <w:lang w:val="sr-Latn-BA"/>
        </w:rPr>
      </w:pPr>
    </w:p>
    <w:p w14:paraId="1B3FD0BA" w14:textId="77777777" w:rsidR="001F77DD" w:rsidRDefault="00D97F9C">
      <w:pPr>
        <w:numPr>
          <w:ilvl w:val="0"/>
          <w:numId w:val="23"/>
        </w:numPr>
        <w:spacing w:after="0" w:line="360" w:lineRule="auto"/>
        <w:contextualSpacing/>
        <w:jc w:val="both"/>
        <w:outlineLvl w:val="0"/>
        <w:rPr>
          <w:rFonts w:ascii="Arial" w:eastAsia="Calibri" w:hAnsi="Arial" w:cs="Arial"/>
          <w:b/>
          <w:sz w:val="24"/>
          <w:szCs w:val="24"/>
          <w:lang w:val="sr-Latn-BA"/>
        </w:rPr>
      </w:pPr>
      <w:bookmarkStart w:id="28" w:name="_Toc213758728"/>
      <w:r>
        <w:rPr>
          <w:rFonts w:ascii="Arial" w:eastAsia="Calibri" w:hAnsi="Arial" w:cs="Arial"/>
          <w:b/>
          <w:sz w:val="24"/>
          <w:szCs w:val="24"/>
          <w:lang w:val="sr-Latn-BA"/>
        </w:rPr>
        <w:lastRenderedPageBreak/>
        <w:t>Strateški ciljevi razvoja Agencije</w:t>
      </w:r>
      <w:bookmarkEnd w:id="28"/>
    </w:p>
    <w:p w14:paraId="32959A85" w14:textId="77777777" w:rsidR="001F77DD" w:rsidRDefault="001F77DD">
      <w:pPr>
        <w:spacing w:after="0" w:line="360" w:lineRule="auto"/>
        <w:jc w:val="both"/>
        <w:rPr>
          <w:rFonts w:ascii="Arial" w:eastAsia="Times New Roman" w:hAnsi="Arial" w:cs="Arial"/>
          <w:sz w:val="20"/>
          <w:szCs w:val="20"/>
          <w:lang w:val="sr-Latn-BA" w:eastAsia="sr-Latn-CS"/>
        </w:rPr>
      </w:pPr>
    </w:p>
    <w:p w14:paraId="3055B8F5" w14:textId="0750DF45"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Naši ciljevi su da kontinuirano na profesionalan i transparentan način unapređujemo organizaciju Agencije i sve njene poslovne procese čime trajno osiguravamo visokokvalitetnu izradu ličnih dokumenata, efikasno vođenje evidencija podataka i sigurne razmjene podataka. U skladu sa nadležnostima nastojimo biti predvodnici procesa unapređenja cjelokupnog sistema kako bismo olakšali svakodnevni život građana. U tom smislu, potpuno je razumljiva inicijativa Agencije da svoje poslovanje unapređuje prema svjetski priznatim i definisanim parametrima koji bilo gdje u svijetu predstavljaju sinonim za kvalitetno i efikasno poslovanje. ISO standardi, preduvjet kvaliteta i racionalnog upravljanja temelj su za prepoznatljiv kvalitet usluga u bilo kojoj oblasti . Agencija već više od decenije posluje u skladu sa ISO 9001 i 27001 standardima, a od 2025. godine implementirano je još nekoliko ISO standarda i to:</w:t>
      </w:r>
    </w:p>
    <w:p w14:paraId="63A56445"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w:t>
      </w:r>
      <w:r>
        <w:rPr>
          <w:rFonts w:ascii="Arial" w:eastAsia="Times New Roman" w:hAnsi="Arial" w:cs="Arial"/>
          <w:sz w:val="20"/>
          <w:szCs w:val="20"/>
          <w:lang w:val="sr-Latn-BA" w:eastAsia="sr-Latn-CS"/>
        </w:rPr>
        <w:tab/>
        <w:t>ISO 14001- upravljanje životnom sredinom;</w:t>
      </w:r>
    </w:p>
    <w:p w14:paraId="5B04A007"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w:t>
      </w:r>
      <w:r>
        <w:rPr>
          <w:rFonts w:ascii="Arial" w:eastAsia="Times New Roman" w:hAnsi="Arial" w:cs="Arial"/>
          <w:sz w:val="20"/>
          <w:szCs w:val="20"/>
          <w:lang w:val="sr-Latn-BA" w:eastAsia="sr-Latn-CS"/>
        </w:rPr>
        <w:tab/>
        <w:t>ISO 45001- upravljanje bezbjednošću i zdravljem na radu;</w:t>
      </w:r>
    </w:p>
    <w:p w14:paraId="5B7C1B23" w14:textId="37F8971A"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w:t>
      </w:r>
      <w:r>
        <w:rPr>
          <w:rFonts w:ascii="Arial" w:eastAsia="Times New Roman" w:hAnsi="Arial" w:cs="Arial"/>
          <w:sz w:val="20"/>
          <w:szCs w:val="20"/>
          <w:lang w:val="sr-Latn-BA" w:eastAsia="sr-Latn-CS"/>
        </w:rPr>
        <w:tab/>
        <w:t>ISO 27701- upravljanje inormacijama o privatnosti;</w:t>
      </w:r>
    </w:p>
    <w:p w14:paraId="4329EB73"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w:t>
      </w:r>
      <w:r>
        <w:rPr>
          <w:rFonts w:ascii="Arial" w:eastAsia="Times New Roman" w:hAnsi="Arial" w:cs="Arial"/>
          <w:sz w:val="20"/>
          <w:szCs w:val="20"/>
          <w:lang w:val="sr-Latn-BA" w:eastAsia="sr-Latn-CS"/>
        </w:rPr>
        <w:tab/>
        <w:t>ISO 37001 - upravljanje za borbu protiv podmićivanja;</w:t>
      </w:r>
    </w:p>
    <w:p w14:paraId="70EEB3AE" w14:textId="77777777" w:rsidR="001F77DD" w:rsidRDefault="001F77DD">
      <w:pPr>
        <w:spacing w:after="0" w:line="360" w:lineRule="auto"/>
        <w:jc w:val="both"/>
        <w:rPr>
          <w:rFonts w:ascii="Arial" w:eastAsia="Times New Roman" w:hAnsi="Arial" w:cs="Arial"/>
          <w:sz w:val="20"/>
          <w:szCs w:val="20"/>
          <w:lang w:val="sr-Latn-BA" w:eastAsia="sr-Latn-CS"/>
        </w:rPr>
      </w:pPr>
    </w:p>
    <w:p w14:paraId="106FFBEC"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Ovim će se rad u Agenciji podignuti na još viši nivo, a samo i isključivo radi postizanja većeg zadovoljstva krajnjih korisnika usluga Agencije – svih građana BiH.</w:t>
      </w:r>
    </w:p>
    <w:p w14:paraId="33203AD1"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Bosna i Hercegovina, kao zemlja kandidat za pristupanje Europskoj uniji, zaključila je Sporazum o stabilizaciji i pridruživanju između EU i BiH, čime je preuzela obavezu usklađivanja svog zakonodavstva s propisima i pravnom stečevinom EU, kao i sa svim standardima koji se primjenjuju u Europskoj uniji. U skladu s tim, Agencija za identifikacione dokumente, evidenciju i razmjenu podataka Bosne i Hercegovine aktivno radi na implementaciji ovih procesa i EU standarda u svom domenu djelovanja.</w:t>
      </w:r>
    </w:p>
    <w:p w14:paraId="767D3299"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Na 57. sjednici održanoj 9.11.2022. godine, Vijeće ministara Bosne i Hercegovine je usvojilo</w:t>
      </w:r>
      <w:r>
        <w:rPr>
          <w:rFonts w:ascii="Arial" w:eastAsia="Times New Roman" w:hAnsi="Arial" w:cs="Arial"/>
          <w:b/>
          <w:sz w:val="20"/>
          <w:szCs w:val="20"/>
          <w:lang w:val="sr-Latn-BA" w:eastAsia="sr-Latn-CS"/>
        </w:rPr>
        <w:t xml:space="preserve"> </w:t>
      </w:r>
      <w:r>
        <w:rPr>
          <w:rFonts w:ascii="Arial" w:eastAsia="Times New Roman" w:hAnsi="Arial" w:cs="Arial"/>
          <w:sz w:val="20"/>
          <w:szCs w:val="20"/>
          <w:lang w:val="sr-Latn-BA" w:eastAsia="sr-Latn-CS"/>
        </w:rPr>
        <w:t>Strateški okvir institucija Bosne i Hercegovine do 2030. godine. Zaključkom Vijeća ministara, sve institucije Bosne i Hercegovine su zadužene da osiguraju implementaciju strateških ciljeva iz ovog dokumenta kroz sve ostale relevantne strateške planske dokumente, kao što su sektorske strategije, srednjoročni planovi rada i godišnji programi rada, u skladu s važećom regulativom.</w:t>
      </w:r>
    </w:p>
    <w:p w14:paraId="3C0B0D25" w14:textId="0B55098E"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U kontekstu europskih integracija i digitalnog razvoja, važno je napomenuti da je Europska komisija u martu 2021. godine donijela "Digitalni kompas 2030. godine: europski pristup za digitalno desetljeće", u kojem su predstavljeni vizija, ciljevi i pristupi za uspješnu digitalnu transformaciju Europske unije do 2030. godine. Dodatno, Europska komisija je predstavila i Prijedlog odluke Europskog parlamenta i Vijeća o uspostavi programa politike do 2030. "Put u digitalno desetljeće".</w:t>
      </w:r>
    </w:p>
    <w:p w14:paraId="569C440E" w14:textId="77777777"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 xml:space="preserve">Učešće Agencije IDDEEA u WE BUILD konzorcijumu (2025–2027) ima izuzetno strateški značaj jer omogućava aktivno uključivanje u razvoj i testiranje evropskog modela interoperabilnih digitalnih identiteta i elektronskih usluga u skladu s novom eIDAS 2.0 regulativom. Konzorcijum okuplja institucije i eksperte iz država članica EU s ciljem praktične primjene i validacije rješenja za Evropski digitalni identitet (EUDI </w:t>
      </w:r>
      <w:r>
        <w:rPr>
          <w:rFonts w:ascii="Arial" w:eastAsia="Times New Roman" w:hAnsi="Arial" w:cs="Arial"/>
          <w:sz w:val="20"/>
          <w:szCs w:val="20"/>
          <w:lang w:val="sr-Latn-BA" w:eastAsia="sr-Latn-CS"/>
        </w:rPr>
        <w:lastRenderedPageBreak/>
        <w:t>Wallet), čime se IDDEEA pozicionira kao ključni akter regionalne integracije u evropski digitalni prostor. Učešće u ovom programu doprinosi transferu znanja, tehničkih standarda i najboljih praksi, jača institucionalne kapacitete Agencije i ubrzava usklađivanje s evropskim normama u oblasti digitalne transformacije i sigurnosti elektronskih usluga.</w:t>
      </w:r>
    </w:p>
    <w:p w14:paraId="43EBA6ED" w14:textId="77777777" w:rsidR="001F77DD" w:rsidRDefault="001F77DD">
      <w:pPr>
        <w:spacing w:after="0" w:line="360" w:lineRule="auto"/>
        <w:jc w:val="both"/>
        <w:rPr>
          <w:rFonts w:ascii="Arial" w:eastAsia="Times New Roman" w:hAnsi="Arial" w:cs="Arial"/>
          <w:sz w:val="20"/>
          <w:szCs w:val="20"/>
          <w:lang w:val="sr-Latn-BA" w:eastAsia="sr-Latn-CS"/>
        </w:rPr>
      </w:pPr>
    </w:p>
    <w:p w14:paraId="585C5185" w14:textId="6F839C89" w:rsidR="001F77DD" w:rsidRDefault="00D97F9C">
      <w:pPr>
        <w:spacing w:after="0" w:line="360" w:lineRule="auto"/>
        <w:jc w:val="both"/>
        <w:rPr>
          <w:rFonts w:ascii="Arial" w:eastAsia="Times New Roman" w:hAnsi="Arial" w:cs="Arial"/>
          <w:sz w:val="20"/>
          <w:szCs w:val="20"/>
          <w:lang w:val="sr-Latn-BA" w:eastAsia="sr-Latn-CS"/>
        </w:rPr>
      </w:pPr>
      <w:r>
        <w:rPr>
          <w:rFonts w:ascii="Arial" w:eastAsia="Times New Roman" w:hAnsi="Arial" w:cs="Arial"/>
          <w:sz w:val="20"/>
          <w:szCs w:val="20"/>
          <w:lang w:val="sr-Latn-BA" w:eastAsia="sr-Latn-CS"/>
        </w:rPr>
        <w:t>Aktivno praćenje i uključivanje Agencije IDDEEA u EU projekte predstavlja ključni instrument za unapređenje kapaciteta u digitalizaciji, sajber bezbjednosti i interoperabilnosti sistema. Ovi projekti omogućavaju pristup finansijskim sredstvima, inovativnim tehnologijama i partnerskim mrežama koje podržavaju reforme u skladu s evropskim standardima i prioritetima digitalne agende. Učešće u takvim inicijativama povećava institucionalnu vidljivost BiH unutar evropskog okvira, doprinosi razmjeni znanja i osnažuje položaj Agencije kao centralne institucije za razvoj digitalne infrastrukture i javnih e-servisa. Na taj način, IDDEEA postaje nosilac transformacijskih procesa koji direktno doprinose ispunjavanju obaveza iz Reformske agende i procesa evropskih integracija.</w:t>
      </w:r>
    </w:p>
    <w:p w14:paraId="27191AF3" w14:textId="77777777" w:rsidR="001F77DD" w:rsidRDefault="001F77DD">
      <w:pPr>
        <w:spacing w:after="0" w:line="360" w:lineRule="auto"/>
        <w:jc w:val="both"/>
        <w:rPr>
          <w:rFonts w:ascii="Arial" w:eastAsia="Times New Roman" w:hAnsi="Arial" w:cs="Arial"/>
          <w:sz w:val="20"/>
          <w:szCs w:val="20"/>
          <w:lang w:val="sr-Latn-BA" w:eastAsia="sr-Latn-CS"/>
        </w:rPr>
      </w:pPr>
    </w:p>
    <w:p w14:paraId="0F041E22" w14:textId="54565799" w:rsidR="001F77DD" w:rsidRDefault="00D97F9C">
      <w:pPr>
        <w:spacing w:after="0" w:line="360" w:lineRule="auto"/>
        <w:jc w:val="both"/>
        <w:rPr>
          <w:rFonts w:ascii="Arial" w:eastAsia="Calibri" w:hAnsi="Arial" w:cs="Arial"/>
          <w:sz w:val="20"/>
          <w:szCs w:val="20"/>
          <w:lang w:val="sr-Latn-BA"/>
        </w:rPr>
      </w:pPr>
      <w:r>
        <w:rPr>
          <w:rFonts w:ascii="Arial" w:eastAsia="Times New Roman" w:hAnsi="Arial" w:cs="Arial"/>
          <w:sz w:val="20"/>
          <w:szCs w:val="20"/>
          <w:lang w:val="sr-Latn-BA" w:eastAsia="sr-Latn-CS"/>
        </w:rPr>
        <w:t xml:space="preserve">Agencija, kao ključna institucija u domenu identifikacionih dokumenata i razmjene podataka, prepoznaje važnost evropskih inicijativa i aktivno radi na usklađivanju svojih strategija aktivnosti sa ovim ciljevima, doprinoseći tako procesu evropskih integracija Bosne i Hercegovine i unapređenju digitalnih usluga za građane. </w:t>
      </w:r>
      <w:r>
        <w:rPr>
          <w:rFonts w:ascii="Arial" w:eastAsia="Calibri" w:hAnsi="Arial" w:cs="Arial"/>
          <w:sz w:val="20"/>
          <w:szCs w:val="20"/>
          <w:lang w:val="sr-Latn-BA"/>
        </w:rPr>
        <w:t>Prijedlog se oslanja na Digitalni kompas 2030, koji ima četiri glavne tačke:</w:t>
      </w:r>
    </w:p>
    <w:p w14:paraId="2C04C217" w14:textId="77777777" w:rsidR="001F77DD" w:rsidRDefault="001F77DD">
      <w:pPr>
        <w:spacing w:after="0" w:line="360" w:lineRule="auto"/>
        <w:jc w:val="both"/>
        <w:rPr>
          <w:rFonts w:ascii="Arial" w:eastAsia="Calibri" w:hAnsi="Arial" w:cs="Arial"/>
          <w:sz w:val="20"/>
          <w:szCs w:val="20"/>
          <w:lang w:val="sr-Latn-BA"/>
        </w:rPr>
      </w:pPr>
    </w:p>
    <w:p w14:paraId="4D96A7A0" w14:textId="77777777" w:rsidR="001F77DD" w:rsidRDefault="00D97F9C">
      <w:pPr>
        <w:numPr>
          <w:ilvl w:val="0"/>
          <w:numId w:val="2"/>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 xml:space="preserve">digitalne vještine, </w:t>
      </w:r>
    </w:p>
    <w:p w14:paraId="27A9729A" w14:textId="77777777" w:rsidR="001F77DD" w:rsidRDefault="00D97F9C">
      <w:pPr>
        <w:numPr>
          <w:ilvl w:val="0"/>
          <w:numId w:val="2"/>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digitalnu infrastrukturu,</w:t>
      </w:r>
    </w:p>
    <w:p w14:paraId="2A9E50BE" w14:textId="77777777" w:rsidR="001F77DD" w:rsidRDefault="00D97F9C">
      <w:pPr>
        <w:numPr>
          <w:ilvl w:val="0"/>
          <w:numId w:val="2"/>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 xml:space="preserve">digitalno poslovanje i </w:t>
      </w:r>
    </w:p>
    <w:p w14:paraId="168C57DA" w14:textId="77777777" w:rsidR="001F77DD" w:rsidRDefault="00D97F9C">
      <w:pPr>
        <w:numPr>
          <w:ilvl w:val="0"/>
          <w:numId w:val="2"/>
        </w:numPr>
        <w:spacing w:after="0" w:line="360" w:lineRule="auto"/>
        <w:contextualSpacing/>
        <w:jc w:val="both"/>
        <w:rPr>
          <w:rFonts w:ascii="Arial" w:eastAsia="Calibri" w:hAnsi="Arial" w:cs="Arial"/>
          <w:sz w:val="20"/>
          <w:szCs w:val="20"/>
          <w:lang w:val="sr-Latn-BA"/>
        </w:rPr>
      </w:pPr>
      <w:r>
        <w:rPr>
          <w:rFonts w:ascii="Arial" w:eastAsia="Calibri" w:hAnsi="Arial" w:cs="Arial"/>
          <w:sz w:val="20"/>
          <w:szCs w:val="20"/>
          <w:lang w:val="sr-Latn-BA"/>
        </w:rPr>
        <w:t>digitalne javne usluge.</w:t>
      </w:r>
    </w:p>
    <w:p w14:paraId="2112FCF8" w14:textId="77777777" w:rsidR="001F77DD" w:rsidRDefault="001F77DD">
      <w:pPr>
        <w:spacing w:after="0" w:line="360" w:lineRule="auto"/>
        <w:jc w:val="both"/>
        <w:rPr>
          <w:rFonts w:ascii="Arial" w:eastAsia="Calibri" w:hAnsi="Arial" w:cs="Arial"/>
          <w:sz w:val="20"/>
          <w:szCs w:val="20"/>
          <w:lang w:val="sr-Latn-BA"/>
        </w:rPr>
      </w:pPr>
    </w:p>
    <w:p w14:paraId="707F8777"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 xml:space="preserve">Iz navedenog Prijedloga proizilazi obaveza donošenja nacionalnih strateških planova za digitalno desetljeće koje moraju biti u skladu s opštim i digitalnim ciljevima utvrđenim u Prijedlogu. U skladu s europskim vrijednostima EU želi postati digitalno suverena u otvorenom i međusobno povezanom svijetu koji obuhvata osnažene građane i inovativna poduzeća u uključivom, prosperitetnom i održivom digitalnom društvu u kojem je građanin na prvom mjestu. Agenciji je cilj da bude predvodnik ovih procesa u Bosni i Hercegovini. U skladu sa  Poveljom EU o temeljnim pravima, svaki građanin ima pravo na dobru javnu upravu, što nadalje podrazumijeva elemente vladavine prava, zaštite prava građana, dostupnost i odgovor na potrebe korisnika, jednakost postupanja, transparentnost, odgovornost i sudjelovanje građana. U skladu sa svojim zakonskim nadležnostima i oblastima rada, Agenciji je imperativ da postane sinonim za povjerenje, sigurnost, inovaciju i stručnost u oblasti identifikacionih tehnologija, evidencije i razmjene podataka. Agencija razvija strategiju kojoj je cilj unaprijediti cjelokupno poslovanje čime će se dati poticaj i stvarni zamah razvoju javne uprave, utemeljene na zakonskim principima i na načelima dobrog upravljanja, prepoznatim i prihvaćenim među državama članicama Europske unije. </w:t>
      </w:r>
      <w:r>
        <w:rPr>
          <w:rFonts w:ascii="Arial" w:eastAsia="Calibri" w:hAnsi="Arial" w:cs="Arial"/>
          <w:sz w:val="20"/>
          <w:szCs w:val="20"/>
          <w:lang w:val="sr-Latn-BA"/>
        </w:rPr>
        <w:br w:type="page" w:clear="all"/>
      </w:r>
    </w:p>
    <w:p w14:paraId="302FCCF8" w14:textId="77777777" w:rsidR="001F77DD" w:rsidRDefault="00D97F9C">
      <w:pPr>
        <w:jc w:val="both"/>
        <w:rPr>
          <w:rFonts w:ascii="Arial" w:eastAsia="Calibri" w:hAnsi="Arial" w:cs="Arial"/>
          <w:sz w:val="20"/>
          <w:szCs w:val="20"/>
          <w:lang w:val="sr-Latn-BA"/>
        </w:rPr>
      </w:pPr>
      <w:r>
        <w:rPr>
          <w:rFonts w:ascii="Arial" w:eastAsia="Calibri" w:hAnsi="Arial" w:cs="Arial"/>
          <w:noProof/>
          <w:sz w:val="20"/>
          <w:szCs w:val="20"/>
        </w:rPr>
        <w:lastRenderedPageBreak/>
        <mc:AlternateContent>
          <mc:Choice Requires="wps">
            <w:drawing>
              <wp:anchor distT="0" distB="0" distL="114300" distR="114300" simplePos="0" relativeHeight="251670528" behindDoc="0" locked="0" layoutInCell="1" allowOverlap="1">
                <wp:simplePos x="0" y="0"/>
                <wp:positionH relativeFrom="column">
                  <wp:posOffset>758061</wp:posOffset>
                </wp:positionH>
                <wp:positionV relativeFrom="paragraph">
                  <wp:posOffset>196850</wp:posOffset>
                </wp:positionV>
                <wp:extent cx="4391025" cy="588010"/>
                <wp:effectExtent l="0" t="0" r="28575" b="21590"/>
                <wp:wrapNone/>
                <wp:docPr id="10" name="Isosceles Triangle 15"/>
                <wp:cNvGraphicFramePr/>
                <a:graphic xmlns:a="http://schemas.openxmlformats.org/drawingml/2006/main">
                  <a:graphicData uri="http://schemas.microsoft.com/office/word/2010/wordprocessingShape">
                    <wps:wsp>
                      <wps:cNvSpPr/>
                      <wps:spPr bwMode="auto">
                        <a:xfrm>
                          <a:off x="0" y="0"/>
                          <a:ext cx="4391025" cy="588010"/>
                        </a:xfrm>
                        <a:prstGeom prst="triangle">
                          <a:avLst>
                            <a:gd name="adj" fmla="val 50000"/>
                          </a:avLst>
                        </a:prstGeom>
                        <a:solidFill>
                          <a:sysClr val="windowText" lastClr="000000">
                            <a:lumMod val="65000"/>
                            <a:lumOff val="35000"/>
                          </a:sysClr>
                        </a:solidFill>
                        <a:ln w="25400" cap="flat" cmpd="sng" algn="ctr">
                          <a:solidFill>
                            <a:sysClr val="windowText" lastClr="000000"/>
                          </a:solidFill>
                          <a:prstDash val="solid"/>
                        </a:ln>
                        <a:effectLst/>
                      </wps:spPr>
                      <wps:txbx>
                        <w:txbxContent>
                          <w:p w14:paraId="0B2E84A6" w14:textId="77777777" w:rsidR="00524C4C" w:rsidRDefault="00524C4C">
                            <w:pPr>
                              <w:jc w:val="center"/>
                              <w:rPr>
                                <w:rFonts w:ascii="Arial" w:hAnsi="Arial" w:cs="Arial"/>
                                <w:lang w:val="hr-BA"/>
                              </w:rPr>
                            </w:pPr>
                            <w:r>
                              <w:rPr>
                                <w:rFonts w:ascii="Arial" w:hAnsi="Arial" w:cs="Arial"/>
                                <w:lang w:val="hr-BA"/>
                              </w:rPr>
                              <w:t xml:space="preserve">Digitalno društvo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5" o:spid="_x0000_s1026" type="#_x0000_t5" style="position:absolute;left:0;text-align:left;margin-left:59.7pt;margin-top:15.5pt;width:345.75pt;height:46.3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" fillcolor="#595959" strokecolor="windowText" strokeweight="2pt">
                <v:textbox>
                  <w:txbxContent>
                    <w:p w14:paraId="0B2E84A6" w14:textId="77777777" w:rsidR="00524C4C" w:rsidRDefault="00524C4C">
                      <w:pPr>
                        <w:jc w:val="center"/>
                        <w:rPr>
                          <w:rFonts w:ascii="Arial" w:hAnsi="Arial" w:cs="Arial"/>
                          <w:lang w:val="hr-BA"/>
                        </w:rPr>
                      </w:pPr>
                      <w:r>
                        <w:rPr>
                          <w:rFonts w:ascii="Arial" w:hAnsi="Arial" w:cs="Arial"/>
                          <w:lang w:val="hr-BA"/>
                        </w:rPr>
                        <w:t xml:space="preserve">Digitalno društvo </w:t>
                      </w:r>
                    </w:p>
                  </w:txbxContent>
                </v:textbox>
              </v:shape>
            </w:pict>
          </mc:Fallback>
        </mc:AlternateContent>
      </w:r>
    </w:p>
    <w:p w14:paraId="34D71585" w14:textId="77777777" w:rsidR="001F77DD" w:rsidRDefault="001F77DD">
      <w:pPr>
        <w:jc w:val="both"/>
        <w:rPr>
          <w:rFonts w:ascii="Arial" w:eastAsia="Calibri" w:hAnsi="Arial" w:cs="Arial"/>
          <w:sz w:val="20"/>
          <w:szCs w:val="20"/>
          <w:lang w:val="sr-Latn-BA"/>
        </w:rPr>
      </w:pPr>
    </w:p>
    <w:p w14:paraId="3A615779" w14:textId="77777777" w:rsidR="001F77DD" w:rsidRDefault="00D97F9C">
      <w:pPr>
        <w:jc w:val="both"/>
        <w:rPr>
          <w:rFonts w:ascii="Arial" w:eastAsia="Calibri" w:hAnsi="Arial" w:cs="Arial"/>
          <w:sz w:val="20"/>
          <w:szCs w:val="20"/>
          <w:lang w:val="sr-Latn-BA"/>
        </w:rPr>
      </w:pPr>
      <w:r>
        <w:rPr>
          <w:rFonts w:ascii="Arial" w:eastAsia="Calibri" w:hAnsi="Arial" w:cs="Arial"/>
          <w:noProof/>
          <w:sz w:val="20"/>
          <w:szCs w:val="20"/>
        </w:rPr>
        <mc:AlternateContent>
          <mc:Choice Requires="wps">
            <w:drawing>
              <wp:anchor distT="0" distB="0" distL="114300" distR="114300" simplePos="0" relativeHeight="251668480" behindDoc="0" locked="0" layoutInCell="1" allowOverlap="1">
                <wp:simplePos x="0" y="0"/>
                <wp:positionH relativeFrom="column">
                  <wp:posOffset>2874936</wp:posOffset>
                </wp:positionH>
                <wp:positionV relativeFrom="paragraph">
                  <wp:posOffset>247155</wp:posOffset>
                </wp:positionV>
                <wp:extent cx="2261611" cy="518160"/>
                <wp:effectExtent l="0" t="0" r="24765" b="15240"/>
                <wp:wrapNone/>
                <wp:docPr id="11" name="Rectangle 14"/>
                <wp:cNvGraphicFramePr/>
                <a:graphic xmlns:a="http://schemas.openxmlformats.org/drawingml/2006/main">
                  <a:graphicData uri="http://schemas.microsoft.com/office/word/2010/wordprocessingShape">
                    <wps:wsp>
                      <wps:cNvSpPr/>
                      <wps:spPr bwMode="auto">
                        <a:xfrm>
                          <a:off x="0" y="0"/>
                          <a:ext cx="2261611" cy="518160"/>
                        </a:xfrm>
                        <a:prstGeom prst="rect">
                          <a:avLst/>
                        </a:prstGeom>
                        <a:solidFill>
                          <a:sysClr val="window" lastClr="FFFFFF">
                            <a:lumMod val="50000"/>
                          </a:sysClr>
                        </a:solidFill>
                        <a:ln w="25400" cap="flat" cmpd="sng" algn="ctr">
                          <a:solidFill>
                            <a:sysClr val="windowText" lastClr="000000"/>
                          </a:solidFill>
                          <a:prstDash val="solid"/>
                        </a:ln>
                        <a:effectLst/>
                      </wps:spPr>
                      <wps:txbx>
                        <w:txbxContent>
                          <w:p w14:paraId="29AAB227" w14:textId="77777777" w:rsidR="00524C4C" w:rsidRDefault="00524C4C">
                            <w:pPr>
                              <w:jc w:val="center"/>
                              <w:rPr>
                                <w:rFonts w:ascii="Arial" w:hAnsi="Arial" w:cs="Arial"/>
                                <w:sz w:val="20"/>
                                <w:szCs w:val="20"/>
                                <w:lang w:val="hr-BA"/>
                              </w:rPr>
                            </w:pPr>
                            <w:r>
                              <w:rPr>
                                <w:rFonts w:ascii="Arial" w:hAnsi="Arial" w:cs="Arial"/>
                                <w:sz w:val="20"/>
                                <w:szCs w:val="20"/>
                                <w:lang w:val="hr-BA"/>
                              </w:rPr>
                              <w:t>Upotreba kvalifikovanih potvrda za udaljeno potpisivanje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 o:spid="_x0000_s1027" style="position:absolute;left:0;text-align:left;margin-left:226.35pt;margin-top:19.45pt;width:178.1pt;height:40.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" fillcolor="#7f7f7f" strokecolor="windowText" strokeweight="2pt">
                <v:textbox>
                  <w:txbxContent>
                    <w:p w14:paraId="29AAB227" w14:textId="77777777" w:rsidR="00524C4C" w:rsidRDefault="00524C4C">
                      <w:pPr>
                        <w:jc w:val="center"/>
                        <w:rPr>
                          <w:rFonts w:ascii="Arial" w:hAnsi="Arial" w:cs="Arial"/>
                          <w:sz w:val="20"/>
                          <w:szCs w:val="20"/>
                          <w:lang w:val="hr-BA"/>
                        </w:rPr>
                      </w:pPr>
                      <w:r>
                        <w:rPr>
                          <w:rFonts w:ascii="Arial" w:hAnsi="Arial" w:cs="Arial"/>
                          <w:sz w:val="20"/>
                          <w:szCs w:val="20"/>
                          <w:lang w:val="hr-BA"/>
                        </w:rPr>
                        <w:t>Upotreba kvalifikovanih potvrda za udaljeno potpisivanje</w:t>
                      </w:r>
                    </w:p>
                  </w:txbxContent>
                </v:textbox>
              </v:rect>
            </w:pict>
          </mc:Fallback>
        </mc:AlternateContent>
      </w:r>
      <w:r>
        <w:rPr>
          <w:rFonts w:ascii="Arial" w:eastAsia="Calibri" w:hAnsi="Arial" w:cs="Arial"/>
          <w:noProof/>
          <w:sz w:val="20"/>
          <w:szCs w:val="20"/>
        </w:rPr>
        <mc:AlternateContent>
          <mc:Choice Requires="wps">
            <w:drawing>
              <wp:anchor distT="0" distB="0" distL="114300" distR="114300" simplePos="0" relativeHeight="251666432" behindDoc="0" locked="0" layoutInCell="1" allowOverlap="1">
                <wp:simplePos x="0" y="0"/>
                <wp:positionH relativeFrom="column">
                  <wp:posOffset>762635</wp:posOffset>
                </wp:positionH>
                <wp:positionV relativeFrom="paragraph">
                  <wp:posOffset>249426</wp:posOffset>
                </wp:positionV>
                <wp:extent cx="2049780" cy="518160"/>
                <wp:effectExtent l="0" t="0" r="26670" b="15240"/>
                <wp:wrapNone/>
                <wp:docPr id="12" name="Rectangle 13"/>
                <wp:cNvGraphicFramePr/>
                <a:graphic xmlns:a="http://schemas.openxmlformats.org/drawingml/2006/main">
                  <a:graphicData uri="http://schemas.microsoft.com/office/word/2010/wordprocessingShape">
                    <wps:wsp>
                      <wps:cNvSpPr/>
                      <wps:spPr bwMode="auto">
                        <a:xfrm>
                          <a:off x="0" y="0"/>
                          <a:ext cx="2049780" cy="518160"/>
                        </a:xfrm>
                        <a:prstGeom prst="rect">
                          <a:avLst/>
                        </a:prstGeom>
                        <a:solidFill>
                          <a:sysClr val="window" lastClr="FFFFFF">
                            <a:lumMod val="50000"/>
                          </a:sysClr>
                        </a:solidFill>
                        <a:ln w="25400" cap="flat" cmpd="sng" algn="ctr">
                          <a:solidFill>
                            <a:sysClr val="windowText" lastClr="000000"/>
                          </a:solidFill>
                          <a:prstDash val="solid"/>
                        </a:ln>
                        <a:effectLst/>
                      </wps:spPr>
                      <wps:txbx>
                        <w:txbxContent>
                          <w:p w14:paraId="406059A9" w14:textId="77777777" w:rsidR="00524C4C" w:rsidRDefault="00524C4C">
                            <w:pPr>
                              <w:jc w:val="center"/>
                              <w:rPr>
                                <w:rFonts w:ascii="Arial" w:hAnsi="Arial" w:cs="Arial"/>
                                <w:sz w:val="20"/>
                                <w:szCs w:val="20"/>
                                <w:lang w:val="hr-BA"/>
                              </w:rPr>
                            </w:pPr>
                            <w:r>
                              <w:rPr>
                                <w:rFonts w:ascii="Arial" w:hAnsi="Arial" w:cs="Arial"/>
                                <w:sz w:val="20"/>
                                <w:szCs w:val="20"/>
                                <w:lang w:val="hr-BA"/>
                              </w:rPr>
                              <w:t>Upotreba kvalififikovanih potvrda e-Servisi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28" style="position:absolute;left:0;text-align:left;margin-left:60.05pt;margin-top:19.65pt;width:161.4pt;height:4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" fillcolor="#7f7f7f" strokecolor="windowText" strokeweight="2pt">
                <v:textbox>
                  <w:txbxContent>
                    <w:p w14:paraId="406059A9" w14:textId="77777777" w:rsidR="00524C4C" w:rsidRDefault="00524C4C">
                      <w:pPr>
                        <w:jc w:val="center"/>
                        <w:rPr>
                          <w:rFonts w:ascii="Arial" w:hAnsi="Arial" w:cs="Arial"/>
                          <w:sz w:val="20"/>
                          <w:szCs w:val="20"/>
                          <w:lang w:val="hr-BA"/>
                        </w:rPr>
                      </w:pPr>
                      <w:r>
                        <w:rPr>
                          <w:rFonts w:ascii="Arial" w:hAnsi="Arial" w:cs="Arial"/>
                          <w:sz w:val="20"/>
                          <w:szCs w:val="20"/>
                          <w:lang w:val="hr-BA"/>
                        </w:rPr>
                        <w:t>Upotreba kvalififikovanih potvrda e-Servisi</w:t>
                      </w:r>
                    </w:p>
                  </w:txbxContent>
                </v:textbox>
              </v:rect>
            </w:pict>
          </mc:Fallback>
        </mc:AlternateContent>
      </w:r>
    </w:p>
    <w:p w14:paraId="436593B9" w14:textId="77777777" w:rsidR="001F77DD" w:rsidRDefault="001F77DD">
      <w:pPr>
        <w:jc w:val="both"/>
        <w:rPr>
          <w:rFonts w:ascii="Arial" w:eastAsia="Calibri" w:hAnsi="Arial" w:cs="Arial"/>
          <w:sz w:val="20"/>
          <w:szCs w:val="20"/>
          <w:lang w:val="sr-Latn-BA"/>
        </w:rPr>
      </w:pPr>
    </w:p>
    <w:p w14:paraId="2AE10716" w14:textId="77777777" w:rsidR="001F77DD" w:rsidRDefault="00D97F9C">
      <w:pPr>
        <w:jc w:val="both"/>
        <w:rPr>
          <w:rFonts w:ascii="Arial" w:eastAsia="Calibri" w:hAnsi="Arial" w:cs="Arial"/>
          <w:sz w:val="20"/>
          <w:szCs w:val="20"/>
          <w:lang w:val="sr-Latn-BA"/>
        </w:rPr>
      </w:pPr>
      <w:r>
        <w:rPr>
          <w:rFonts w:ascii="Arial" w:eastAsia="Calibri" w:hAnsi="Arial" w:cs="Arial"/>
          <w:noProof/>
          <w:sz w:val="20"/>
          <w:szCs w:val="20"/>
        </w:rPr>
        <mc:AlternateContent>
          <mc:Choice Requires="wps">
            <w:drawing>
              <wp:anchor distT="0" distB="0" distL="114300" distR="114300" simplePos="0" relativeHeight="251645952" behindDoc="0" locked="0" layoutInCell="1" allowOverlap="1">
                <wp:simplePos x="0" y="0"/>
                <wp:positionH relativeFrom="column">
                  <wp:posOffset>758825</wp:posOffset>
                </wp:positionH>
                <wp:positionV relativeFrom="paragraph">
                  <wp:posOffset>214630</wp:posOffset>
                </wp:positionV>
                <wp:extent cx="2955290" cy="518160"/>
                <wp:effectExtent l="0" t="0" r="16510" b="15240"/>
                <wp:wrapNone/>
                <wp:docPr id="13" name="Rectangle 11"/>
                <wp:cNvGraphicFramePr/>
                <a:graphic xmlns:a="http://schemas.openxmlformats.org/drawingml/2006/main">
                  <a:graphicData uri="http://schemas.microsoft.com/office/word/2010/wordprocessingShape">
                    <wps:wsp>
                      <wps:cNvSpPr/>
                      <wps:spPr bwMode="auto">
                        <a:xfrm>
                          <a:off x="0" y="0"/>
                          <a:ext cx="2955290" cy="518160"/>
                        </a:xfrm>
                        <a:prstGeom prst="rect">
                          <a:avLst/>
                        </a:prstGeom>
                        <a:solidFill>
                          <a:sysClr val="window" lastClr="FFFFFF">
                            <a:lumMod val="65000"/>
                          </a:sysClr>
                        </a:solidFill>
                        <a:ln w="25400" cap="flat" cmpd="sng" algn="ctr">
                          <a:solidFill>
                            <a:sysClr val="windowText" lastClr="000000"/>
                          </a:solidFill>
                          <a:prstDash val="solid"/>
                        </a:ln>
                        <a:effectLst/>
                      </wps:spPr>
                      <wps:txbx>
                        <w:txbxContent>
                          <w:p w14:paraId="350E9FB7" w14:textId="77777777" w:rsidR="00524C4C" w:rsidRDefault="00524C4C">
                            <w:pPr>
                              <w:jc w:val="center"/>
                              <w:rPr>
                                <w:rFonts w:ascii="Arial" w:hAnsi="Arial" w:cs="Arial"/>
                                <w:sz w:val="20"/>
                                <w:szCs w:val="20"/>
                                <w:lang w:val="hr-BA"/>
                              </w:rPr>
                            </w:pPr>
                            <w:r>
                              <w:rPr>
                                <w:rFonts w:ascii="Arial" w:hAnsi="Arial" w:cs="Arial"/>
                                <w:sz w:val="20"/>
                                <w:szCs w:val="20"/>
                                <w:lang w:val="hr-BA"/>
                              </w:rPr>
                              <w:t>Kvalifikovani ovjerilac usluga povjerenja  od 2021. godine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9" style="position:absolute;left:0;text-align:left;margin-left:59.75pt;margin-top:16.9pt;width:232.7pt;height:40.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" fillcolor="#a6a6a6" strokecolor="windowText" strokeweight="2pt">
                <v:textbox>
                  <w:txbxContent>
                    <w:p w14:paraId="350E9FB7" w14:textId="77777777" w:rsidR="00524C4C" w:rsidRDefault="00524C4C">
                      <w:pPr>
                        <w:jc w:val="center"/>
                        <w:rPr>
                          <w:rFonts w:ascii="Arial" w:hAnsi="Arial" w:cs="Arial"/>
                          <w:sz w:val="20"/>
                          <w:szCs w:val="20"/>
                          <w:lang w:val="hr-BA"/>
                        </w:rPr>
                      </w:pPr>
                      <w:r>
                        <w:rPr>
                          <w:rFonts w:ascii="Arial" w:hAnsi="Arial" w:cs="Arial"/>
                          <w:sz w:val="20"/>
                          <w:szCs w:val="20"/>
                          <w:lang w:val="hr-BA"/>
                        </w:rPr>
                        <w:t>Kvalifikovani ovjerilac usluga povjerenja  od 2021. godine</w:t>
                      </w:r>
                    </w:p>
                  </w:txbxContent>
                </v:textbox>
              </v:rect>
            </w:pict>
          </mc:Fallback>
        </mc:AlternateContent>
      </w:r>
      <w:r>
        <w:rPr>
          <w:rFonts w:ascii="Arial" w:eastAsia="Calibri" w:hAnsi="Arial" w:cs="Arial"/>
          <w:noProof/>
          <w:sz w:val="20"/>
          <w:szCs w:val="20"/>
        </w:rPr>
        <mc:AlternateContent>
          <mc:Choice Requires="wps">
            <w:drawing>
              <wp:anchor distT="0" distB="0" distL="114300" distR="114300" simplePos="0" relativeHeight="251664384" behindDoc="0" locked="0" layoutInCell="1" allowOverlap="1">
                <wp:simplePos x="0" y="0"/>
                <wp:positionH relativeFrom="column">
                  <wp:posOffset>3785106</wp:posOffset>
                </wp:positionH>
                <wp:positionV relativeFrom="paragraph">
                  <wp:posOffset>217170</wp:posOffset>
                </wp:positionV>
                <wp:extent cx="1362710" cy="518160"/>
                <wp:effectExtent l="0" t="0" r="27940" b="15240"/>
                <wp:wrapNone/>
                <wp:docPr id="14" name="Rectangle 12"/>
                <wp:cNvGraphicFramePr/>
                <a:graphic xmlns:a="http://schemas.openxmlformats.org/drawingml/2006/main">
                  <a:graphicData uri="http://schemas.microsoft.com/office/word/2010/wordprocessingShape">
                    <wps:wsp>
                      <wps:cNvSpPr/>
                      <wps:spPr bwMode="auto">
                        <a:xfrm>
                          <a:off x="0" y="0"/>
                          <a:ext cx="1362710" cy="518160"/>
                        </a:xfrm>
                        <a:prstGeom prst="rect">
                          <a:avLst/>
                        </a:prstGeom>
                        <a:solidFill>
                          <a:sysClr val="window" lastClr="FFFFFF">
                            <a:lumMod val="50000"/>
                          </a:sysClr>
                        </a:solidFill>
                        <a:ln w="25400" cap="flat" cmpd="sng" algn="ctr">
                          <a:solidFill>
                            <a:sysClr val="windowText" lastClr="000000"/>
                          </a:solidFill>
                          <a:prstDash val="solid"/>
                        </a:ln>
                        <a:effectLst/>
                      </wps:spPr>
                      <wps:txbx>
                        <w:txbxContent>
                          <w:p w14:paraId="04E8C3E6" w14:textId="77777777" w:rsidR="00524C4C" w:rsidRDefault="00524C4C">
                            <w:pPr>
                              <w:jc w:val="center"/>
                              <w:rPr>
                                <w:rFonts w:ascii="Arial" w:hAnsi="Arial" w:cs="Arial"/>
                                <w:sz w:val="20"/>
                                <w:szCs w:val="20"/>
                                <w:lang w:val="hr-BA"/>
                              </w:rPr>
                            </w:pPr>
                            <w:r>
                              <w:rPr>
                                <w:rFonts w:ascii="Arial" w:hAnsi="Arial" w:cs="Arial"/>
                                <w:sz w:val="20"/>
                                <w:szCs w:val="20"/>
                                <w:lang w:val="hr-BA"/>
                              </w:rPr>
                              <w:t>Upis kvalifikovanih potvrda u čip eID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30" style="position:absolute;left:0;text-align:left;margin-left:298.05pt;margin-top:17.1pt;width:107.3pt;height:4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" fillcolor="#7f7f7f" strokecolor="windowText" strokeweight="2pt">
                <v:textbox>
                  <w:txbxContent>
                    <w:p w14:paraId="04E8C3E6" w14:textId="77777777" w:rsidR="00524C4C" w:rsidRDefault="00524C4C">
                      <w:pPr>
                        <w:jc w:val="center"/>
                        <w:rPr>
                          <w:rFonts w:ascii="Arial" w:hAnsi="Arial" w:cs="Arial"/>
                          <w:sz w:val="20"/>
                          <w:szCs w:val="20"/>
                          <w:lang w:val="hr-BA"/>
                        </w:rPr>
                      </w:pPr>
                      <w:r>
                        <w:rPr>
                          <w:rFonts w:ascii="Arial" w:hAnsi="Arial" w:cs="Arial"/>
                          <w:sz w:val="20"/>
                          <w:szCs w:val="20"/>
                          <w:lang w:val="hr-BA"/>
                        </w:rPr>
                        <w:t>Upis kvalifikovanih potvrda u čip eID</w:t>
                      </w:r>
                    </w:p>
                  </w:txbxContent>
                </v:textbox>
              </v:rect>
            </w:pict>
          </mc:Fallback>
        </mc:AlternateContent>
      </w:r>
    </w:p>
    <w:p w14:paraId="15D99988" w14:textId="77777777" w:rsidR="001F77DD" w:rsidRDefault="001F77DD">
      <w:pPr>
        <w:jc w:val="both"/>
        <w:rPr>
          <w:rFonts w:ascii="Arial" w:eastAsia="Calibri" w:hAnsi="Arial" w:cs="Arial"/>
          <w:sz w:val="20"/>
          <w:szCs w:val="20"/>
          <w:lang w:val="sr-Latn-BA"/>
        </w:rPr>
      </w:pPr>
    </w:p>
    <w:p w14:paraId="57E3B545" w14:textId="3DC534AA" w:rsidR="001F77DD" w:rsidRDefault="00D97F9C">
      <w:pPr>
        <w:jc w:val="both"/>
        <w:rPr>
          <w:rFonts w:ascii="Arial" w:eastAsia="Calibri" w:hAnsi="Arial" w:cs="Arial"/>
          <w:sz w:val="20"/>
          <w:szCs w:val="20"/>
          <w:lang w:val="sr-Latn-BA"/>
        </w:rPr>
      </w:pPr>
      <w:r>
        <w:rPr>
          <w:rFonts w:ascii="Arial" w:eastAsia="Calibri" w:hAnsi="Arial" w:cs="Arial"/>
          <w:noProof/>
          <w:sz w:val="20"/>
          <w:szCs w:val="20"/>
        </w:rPr>
        <mc:AlternateContent>
          <mc:Choice Requires="wps">
            <w:drawing>
              <wp:anchor distT="0" distB="0" distL="114300" distR="114300" simplePos="0" relativeHeight="251662336" behindDoc="0" locked="0" layoutInCell="1" allowOverlap="1">
                <wp:simplePos x="0" y="0"/>
                <wp:positionH relativeFrom="column">
                  <wp:posOffset>3776663</wp:posOffset>
                </wp:positionH>
                <wp:positionV relativeFrom="paragraph">
                  <wp:posOffset>187643</wp:posOffset>
                </wp:positionV>
                <wp:extent cx="1362710" cy="723900"/>
                <wp:effectExtent l="0" t="0" r="27940" b="19050"/>
                <wp:wrapNone/>
                <wp:docPr id="15" name="Rectangle 10"/>
                <wp:cNvGraphicFramePr/>
                <a:graphic xmlns:a="http://schemas.openxmlformats.org/drawingml/2006/main">
                  <a:graphicData uri="http://schemas.microsoft.com/office/word/2010/wordprocessingShape">
                    <wps:wsp>
                      <wps:cNvSpPr/>
                      <wps:spPr bwMode="auto">
                        <a:xfrm>
                          <a:off x="0" y="0"/>
                          <a:ext cx="1362710" cy="723900"/>
                        </a:xfrm>
                        <a:prstGeom prst="rect">
                          <a:avLst/>
                        </a:prstGeom>
                        <a:solidFill>
                          <a:sysClr val="window" lastClr="FFFFFF">
                            <a:lumMod val="65000"/>
                          </a:sysClr>
                        </a:solidFill>
                        <a:ln w="25400" cap="flat" cmpd="sng" algn="ctr">
                          <a:solidFill>
                            <a:sysClr val="windowText" lastClr="000000"/>
                          </a:solidFill>
                          <a:prstDash val="solid"/>
                        </a:ln>
                        <a:effectLst/>
                      </wps:spPr>
                      <wps:txbx>
                        <w:txbxContent>
                          <w:p w14:paraId="2DB7A2A5" w14:textId="77777777" w:rsidR="00524C4C" w:rsidRDefault="00524C4C">
                            <w:pPr>
                              <w:jc w:val="center"/>
                              <w:rPr>
                                <w:rFonts w:ascii="Arial" w:hAnsi="Arial" w:cs="Arial"/>
                                <w:sz w:val="20"/>
                                <w:szCs w:val="20"/>
                                <w:lang w:val="hr-BA"/>
                              </w:rPr>
                            </w:pPr>
                            <w:r>
                              <w:rPr>
                                <w:rFonts w:ascii="Arial" w:hAnsi="Arial" w:cs="Arial"/>
                                <w:sz w:val="20"/>
                                <w:szCs w:val="20"/>
                                <w:lang w:val="hr-BA"/>
                              </w:rPr>
                              <w:t>e-Pasoši 3. gen. od 2014. godine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31" style="position:absolute;left:0;text-align:left;margin-left:297.4pt;margin-top:14.8pt;width:107.3pt;height:5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" fillcolor="#a6a6a6" strokecolor="windowText" strokeweight="2pt">
                <v:textbox>
                  <w:txbxContent>
                    <w:p w14:paraId="2DB7A2A5" w14:textId="77777777" w:rsidR="00524C4C" w:rsidRDefault="00524C4C">
                      <w:pPr>
                        <w:jc w:val="center"/>
                        <w:rPr>
                          <w:rFonts w:ascii="Arial" w:hAnsi="Arial" w:cs="Arial"/>
                          <w:sz w:val="20"/>
                          <w:szCs w:val="20"/>
                          <w:lang w:val="hr-BA"/>
                        </w:rPr>
                      </w:pPr>
                      <w:r>
                        <w:rPr>
                          <w:rFonts w:ascii="Arial" w:hAnsi="Arial" w:cs="Arial"/>
                          <w:sz w:val="20"/>
                          <w:szCs w:val="20"/>
                          <w:lang w:val="hr-BA"/>
                        </w:rPr>
                        <w:t>e-Pasoši 3. gen. od 2014. godine</w:t>
                      </w:r>
                    </w:p>
                  </w:txbxContent>
                </v:textbox>
              </v:rect>
            </w:pict>
          </mc:Fallback>
        </mc:AlternateContent>
      </w:r>
      <w:r>
        <w:rPr>
          <w:rFonts w:ascii="Arial" w:eastAsia="Calibri" w:hAnsi="Arial" w:cs="Arial"/>
          <w:noProof/>
          <w:sz w:val="20"/>
          <w:szCs w:val="20"/>
        </w:rPr>
        <mc:AlternateContent>
          <mc:Choice Requires="wps">
            <w:drawing>
              <wp:anchor distT="0" distB="0" distL="114300" distR="114300" simplePos="0" relativeHeight="251658240" behindDoc="0" locked="0" layoutInCell="1" allowOverlap="1">
                <wp:simplePos x="0" y="0"/>
                <wp:positionH relativeFrom="column">
                  <wp:posOffset>762000</wp:posOffset>
                </wp:positionH>
                <wp:positionV relativeFrom="paragraph">
                  <wp:posOffset>187642</wp:posOffset>
                </wp:positionV>
                <wp:extent cx="1420495" cy="714375"/>
                <wp:effectExtent l="0" t="0" r="27305" b="28575"/>
                <wp:wrapNone/>
                <wp:docPr id="16" name="Rectangle 8"/>
                <wp:cNvGraphicFramePr/>
                <a:graphic xmlns:a="http://schemas.openxmlformats.org/drawingml/2006/main">
                  <a:graphicData uri="http://schemas.microsoft.com/office/word/2010/wordprocessingShape">
                    <wps:wsp>
                      <wps:cNvSpPr/>
                      <wps:spPr bwMode="auto">
                        <a:xfrm>
                          <a:off x="0" y="0"/>
                          <a:ext cx="1420495" cy="714375"/>
                        </a:xfrm>
                        <a:prstGeom prst="rect">
                          <a:avLst/>
                        </a:prstGeom>
                        <a:solidFill>
                          <a:sysClr val="window" lastClr="FFFFFF">
                            <a:lumMod val="65000"/>
                          </a:sysClr>
                        </a:solidFill>
                        <a:ln w="25400" cap="flat" cmpd="sng" algn="ctr">
                          <a:solidFill>
                            <a:sysClr val="windowText" lastClr="000000"/>
                          </a:solidFill>
                          <a:prstDash val="solid"/>
                        </a:ln>
                        <a:effectLst/>
                      </wps:spPr>
                      <wps:txbx>
                        <w:txbxContent>
                          <w:p w14:paraId="78228A59" w14:textId="77777777" w:rsidR="00524C4C" w:rsidRDefault="00524C4C">
                            <w:pPr>
                              <w:jc w:val="center"/>
                              <w:rPr>
                                <w:rFonts w:ascii="Arial" w:hAnsi="Arial" w:cs="Arial"/>
                                <w:sz w:val="20"/>
                                <w:szCs w:val="20"/>
                                <w:lang w:val="hr-BA"/>
                              </w:rPr>
                            </w:pPr>
                            <w:r>
                              <w:rPr>
                                <w:rFonts w:ascii="Arial" w:hAnsi="Arial" w:cs="Arial"/>
                                <w:sz w:val="20"/>
                                <w:szCs w:val="20"/>
                                <w:lang w:val="hr-BA"/>
                              </w:rPr>
                              <w:t>eID od 2013. godine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32" style="position:absolute;left:0;text-align:left;margin-left:60pt;margin-top:14.75pt;width:111.85pt;height:5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" fillcolor="#a6a6a6" strokecolor="windowText" strokeweight="2pt">
                <v:textbox>
                  <w:txbxContent>
                    <w:p w14:paraId="78228A59" w14:textId="77777777" w:rsidR="00524C4C" w:rsidRDefault="00524C4C">
                      <w:pPr>
                        <w:jc w:val="center"/>
                        <w:rPr>
                          <w:rFonts w:ascii="Arial" w:hAnsi="Arial" w:cs="Arial"/>
                          <w:sz w:val="20"/>
                          <w:szCs w:val="20"/>
                          <w:lang w:val="hr-BA"/>
                        </w:rPr>
                      </w:pPr>
                      <w:r>
                        <w:rPr>
                          <w:rFonts w:ascii="Arial" w:hAnsi="Arial" w:cs="Arial"/>
                          <w:sz w:val="20"/>
                          <w:szCs w:val="20"/>
                          <w:lang w:val="hr-BA"/>
                        </w:rPr>
                        <w:t>eID od 2013. godine</w:t>
                      </w:r>
                    </w:p>
                  </w:txbxContent>
                </v:textbox>
              </v:rect>
            </w:pict>
          </mc:Fallback>
        </mc:AlternateContent>
      </w:r>
      <w:r>
        <w:rPr>
          <w:rFonts w:ascii="Arial" w:eastAsia="Calibri" w:hAnsi="Arial" w:cs="Arial"/>
          <w:noProof/>
          <w:sz w:val="20"/>
          <w:szCs w:val="20"/>
        </w:rPr>
        <mc:AlternateContent>
          <mc:Choice Requires="wps">
            <w:drawing>
              <wp:anchor distT="0" distB="0" distL="114300" distR="114300" simplePos="0" relativeHeight="251660288" behindDoc="0" locked="0" layoutInCell="1" allowOverlap="1">
                <wp:simplePos x="0" y="0"/>
                <wp:positionH relativeFrom="column">
                  <wp:posOffset>2224088</wp:posOffset>
                </wp:positionH>
                <wp:positionV relativeFrom="paragraph">
                  <wp:posOffset>187642</wp:posOffset>
                </wp:positionV>
                <wp:extent cx="1490980" cy="733425"/>
                <wp:effectExtent l="0" t="0" r="13970" b="28575"/>
                <wp:wrapNone/>
                <wp:docPr id="17" name="Rectangle 9"/>
                <wp:cNvGraphicFramePr/>
                <a:graphic xmlns:a="http://schemas.openxmlformats.org/drawingml/2006/main">
                  <a:graphicData uri="http://schemas.microsoft.com/office/word/2010/wordprocessingShape">
                    <wps:wsp>
                      <wps:cNvSpPr/>
                      <wps:spPr bwMode="auto">
                        <a:xfrm>
                          <a:off x="0" y="0"/>
                          <a:ext cx="1490980" cy="733424"/>
                        </a:xfrm>
                        <a:prstGeom prst="rect">
                          <a:avLst/>
                        </a:prstGeom>
                        <a:solidFill>
                          <a:sysClr val="window" lastClr="FFFFFF">
                            <a:lumMod val="65000"/>
                          </a:sysClr>
                        </a:solidFill>
                        <a:ln w="25400" cap="flat" cmpd="sng" algn="ctr">
                          <a:solidFill>
                            <a:sysClr val="windowText" lastClr="000000"/>
                          </a:solidFill>
                          <a:prstDash val="solid"/>
                        </a:ln>
                        <a:effectLst/>
                      </wps:spPr>
                      <wps:txbx>
                        <w:txbxContent>
                          <w:p w14:paraId="6034F14B" w14:textId="5252B625" w:rsidR="00524C4C" w:rsidRDefault="00524C4C">
                            <w:pPr>
                              <w:jc w:val="center"/>
                              <w:rPr>
                                <w:rFonts w:ascii="Arial" w:hAnsi="Arial" w:cs="Arial"/>
                                <w:sz w:val="20"/>
                                <w:szCs w:val="20"/>
                                <w:lang w:val="hr-BA"/>
                              </w:rPr>
                            </w:pPr>
                            <w:r>
                              <w:rPr>
                                <w:rFonts w:ascii="Arial" w:hAnsi="Arial" w:cs="Arial"/>
                                <w:sz w:val="20"/>
                                <w:szCs w:val="20"/>
                                <w:lang w:val="hr-BA"/>
                              </w:rPr>
                              <w:t>ISO 9001 i 27001 od 2012. godine a ISO 14001, 45001, 27701 i 37011 od 2025.godine</w:t>
                            </w:r>
                          </w:p>
                          <w:p w14:paraId="072370AE" w14:textId="6467B394" w:rsidR="00524C4C" w:rsidRDefault="00524C4C">
                            <w:pPr>
                              <w:jc w:val="center"/>
                              <w:rPr>
                                <w:rFonts w:ascii="Arial" w:hAnsi="Arial" w:cs="Arial"/>
                                <w:sz w:val="20"/>
                                <w:szCs w:val="20"/>
                                <w:lang w:val="hr-BA"/>
                              </w:rPr>
                            </w:pPr>
                            <w:r>
                              <w:rPr>
                                <w:rFonts w:ascii="Arial" w:hAnsi="Arial" w:cs="Arial"/>
                                <w:sz w:val="20"/>
                                <w:szCs w:val="20"/>
                                <w:lang w:val="hr-BA"/>
                              </w:rPr>
                              <w:t>ISO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33" style="position:absolute;left:0;text-align:left;margin-left:175.15pt;margin-top:14.75pt;width:117.4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" fillcolor="#a6a6a6" strokecolor="windowText" strokeweight="2pt">
                <v:textbox>
                  <w:txbxContent>
                    <w:p w14:paraId="6034F14B" w14:textId="5252B625" w:rsidR="00524C4C" w:rsidRDefault="00524C4C">
                      <w:pPr>
                        <w:jc w:val="center"/>
                        <w:rPr>
                          <w:rFonts w:ascii="Arial" w:hAnsi="Arial" w:cs="Arial"/>
                          <w:sz w:val="20"/>
                          <w:szCs w:val="20"/>
                          <w:lang w:val="hr-BA"/>
                        </w:rPr>
                      </w:pPr>
                      <w:r>
                        <w:rPr>
                          <w:rFonts w:ascii="Arial" w:hAnsi="Arial" w:cs="Arial"/>
                          <w:sz w:val="20"/>
                          <w:szCs w:val="20"/>
                          <w:lang w:val="hr-BA"/>
                        </w:rPr>
                        <w:t>ISO 9001 i 27001 od 2012. godine a ISO 14001, 45001, 27701 i 37011 od 2025.godine</w:t>
                      </w:r>
                    </w:p>
                    <w:p w14:paraId="072370AE" w14:textId="6467B394" w:rsidR="00524C4C" w:rsidRDefault="00524C4C">
                      <w:pPr>
                        <w:jc w:val="center"/>
                        <w:rPr>
                          <w:rFonts w:ascii="Arial" w:hAnsi="Arial" w:cs="Arial"/>
                          <w:sz w:val="20"/>
                          <w:szCs w:val="20"/>
                          <w:lang w:val="hr-BA"/>
                        </w:rPr>
                      </w:pPr>
                      <w:r>
                        <w:rPr>
                          <w:rFonts w:ascii="Arial" w:hAnsi="Arial" w:cs="Arial"/>
                          <w:sz w:val="20"/>
                          <w:szCs w:val="20"/>
                          <w:lang w:val="hr-BA"/>
                        </w:rPr>
                        <w:t>ISO</w:t>
                      </w:r>
                    </w:p>
                  </w:txbxContent>
                </v:textbox>
              </v:rect>
            </w:pict>
          </mc:Fallback>
        </mc:AlternateContent>
      </w:r>
    </w:p>
    <w:p w14:paraId="55AE011D" w14:textId="77777777" w:rsidR="001F77DD" w:rsidRDefault="001F77DD">
      <w:pPr>
        <w:jc w:val="both"/>
        <w:rPr>
          <w:rFonts w:ascii="Arial" w:eastAsia="Calibri" w:hAnsi="Arial" w:cs="Arial"/>
          <w:sz w:val="20"/>
          <w:szCs w:val="20"/>
          <w:lang w:val="sr-Latn-BA"/>
        </w:rPr>
      </w:pPr>
    </w:p>
    <w:p w14:paraId="0F6DA8B4" w14:textId="5F85FC57" w:rsidR="001F77DD" w:rsidRDefault="001F77DD">
      <w:pPr>
        <w:jc w:val="both"/>
        <w:rPr>
          <w:rFonts w:ascii="Arial" w:eastAsia="Calibri" w:hAnsi="Arial" w:cs="Arial"/>
          <w:sz w:val="20"/>
          <w:szCs w:val="20"/>
          <w:lang w:val="sr-Latn-BA"/>
        </w:rPr>
      </w:pPr>
    </w:p>
    <w:p w14:paraId="7CEDBBD5" w14:textId="322E7DE8" w:rsidR="001F77DD" w:rsidRDefault="00D97F9C">
      <w:pPr>
        <w:jc w:val="both"/>
        <w:rPr>
          <w:rFonts w:ascii="Arial" w:eastAsia="Calibri" w:hAnsi="Arial" w:cs="Arial"/>
          <w:sz w:val="20"/>
          <w:szCs w:val="20"/>
          <w:lang w:val="sr-Latn-BA"/>
        </w:rPr>
      </w:pPr>
      <w:r>
        <w:rPr>
          <w:rFonts w:ascii="Arial" w:eastAsia="Calibri" w:hAnsi="Arial" w:cs="Arial"/>
          <w:noProof/>
          <w:sz w:val="20"/>
          <w:szCs w:val="20"/>
        </w:rPr>
        <mc:AlternateContent>
          <mc:Choice Requires="wps">
            <w:drawing>
              <wp:anchor distT="0" distB="0" distL="114300" distR="114300" simplePos="0" relativeHeight="251652096" behindDoc="0" locked="0" layoutInCell="1" allowOverlap="1">
                <wp:simplePos x="0" y="0"/>
                <wp:positionH relativeFrom="column">
                  <wp:posOffset>758825</wp:posOffset>
                </wp:positionH>
                <wp:positionV relativeFrom="paragraph">
                  <wp:posOffset>67310</wp:posOffset>
                </wp:positionV>
                <wp:extent cx="4376754" cy="518354"/>
                <wp:effectExtent l="0" t="0" r="24130" b="15240"/>
                <wp:wrapNone/>
                <wp:docPr id="18" name="Rectangle 7"/>
                <wp:cNvGraphicFramePr/>
                <a:graphic xmlns:a="http://schemas.openxmlformats.org/drawingml/2006/main">
                  <a:graphicData uri="http://schemas.microsoft.com/office/word/2010/wordprocessingShape">
                    <wps:wsp>
                      <wps:cNvSpPr/>
                      <wps:spPr bwMode="auto">
                        <a:xfrm>
                          <a:off x="0" y="0"/>
                          <a:ext cx="4376754" cy="518354"/>
                        </a:xfrm>
                        <a:prstGeom prst="rect">
                          <a:avLst/>
                        </a:prstGeom>
                        <a:solidFill>
                          <a:sysClr val="window" lastClr="FFFFFF">
                            <a:lumMod val="65000"/>
                          </a:sysClr>
                        </a:solidFill>
                        <a:ln w="25400" cap="flat" cmpd="sng" algn="ctr">
                          <a:solidFill>
                            <a:sysClr val="windowText" lastClr="000000"/>
                          </a:solidFill>
                          <a:prstDash val="solid"/>
                        </a:ln>
                        <a:effectLst/>
                      </wps:spPr>
                      <wps:txbx>
                        <w:txbxContent>
                          <w:p w14:paraId="219FDDBF" w14:textId="77777777" w:rsidR="00524C4C" w:rsidRDefault="00524C4C">
                            <w:pPr>
                              <w:jc w:val="center"/>
                              <w:rPr>
                                <w:rFonts w:ascii="Arial" w:hAnsi="Arial" w:cs="Arial"/>
                                <w:sz w:val="20"/>
                                <w:szCs w:val="20"/>
                                <w:lang w:val="hr-BA"/>
                              </w:rPr>
                            </w:pPr>
                            <w:r>
                              <w:rPr>
                                <w:rFonts w:ascii="Arial" w:hAnsi="Arial" w:cs="Arial"/>
                                <w:sz w:val="20"/>
                                <w:szCs w:val="20"/>
                                <w:lang w:val="hr-BA"/>
                              </w:rPr>
                              <w:t>Biometrijske putne isprave, provjera identiteta i biometrije od 2009. godine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34" style="position:absolute;left:0;text-align:left;margin-left:59.75pt;margin-top:5.3pt;width:344.65pt;height:40.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" fillcolor="#a6a6a6" strokecolor="windowText" strokeweight="2pt">
                <v:textbox>
                  <w:txbxContent>
                    <w:p w14:paraId="219FDDBF" w14:textId="77777777" w:rsidR="00524C4C" w:rsidRDefault="00524C4C">
                      <w:pPr>
                        <w:jc w:val="center"/>
                        <w:rPr>
                          <w:rFonts w:ascii="Arial" w:hAnsi="Arial" w:cs="Arial"/>
                          <w:sz w:val="20"/>
                          <w:szCs w:val="20"/>
                          <w:lang w:val="hr-BA"/>
                        </w:rPr>
                      </w:pPr>
                      <w:r>
                        <w:rPr>
                          <w:rFonts w:ascii="Arial" w:hAnsi="Arial" w:cs="Arial"/>
                          <w:sz w:val="20"/>
                          <w:szCs w:val="20"/>
                          <w:lang w:val="hr-BA"/>
                        </w:rPr>
                        <w:t>Biometrijske putne isprave, provjera identiteta i biometrije od 2009. godine</w:t>
                      </w:r>
                    </w:p>
                  </w:txbxContent>
                </v:textbox>
              </v:rect>
            </w:pict>
          </mc:Fallback>
        </mc:AlternateContent>
      </w:r>
    </w:p>
    <w:p w14:paraId="474BCE4B" w14:textId="77777777" w:rsidR="001F77DD" w:rsidRDefault="00D97F9C">
      <w:pPr>
        <w:jc w:val="both"/>
        <w:rPr>
          <w:rFonts w:ascii="Arial" w:eastAsia="Calibri" w:hAnsi="Arial" w:cs="Arial"/>
          <w:sz w:val="20"/>
          <w:szCs w:val="20"/>
          <w:lang w:val="sr-Latn-BA"/>
        </w:rPr>
      </w:pPr>
      <w:r>
        <w:rPr>
          <w:rFonts w:ascii="Arial" w:eastAsia="Calibri" w:hAnsi="Arial" w:cs="Arial"/>
          <w:noProof/>
          <w:sz w:val="20"/>
          <w:szCs w:val="20"/>
        </w:rPr>
        <mc:AlternateContent>
          <mc:Choice Requires="wps">
            <w:drawing>
              <wp:anchor distT="0" distB="0" distL="114300" distR="114300" simplePos="0" relativeHeight="251650048" behindDoc="0" locked="0" layoutInCell="1" allowOverlap="1">
                <wp:simplePos x="0" y="0"/>
                <wp:positionH relativeFrom="column">
                  <wp:posOffset>752157</wp:posOffset>
                </wp:positionH>
                <wp:positionV relativeFrom="paragraph">
                  <wp:posOffset>241618</wp:posOffset>
                </wp:positionV>
                <wp:extent cx="4397274" cy="518354"/>
                <wp:effectExtent l="0" t="0" r="22860" b="15240"/>
                <wp:wrapNone/>
                <wp:docPr id="19" name="Rectangle 6"/>
                <wp:cNvGraphicFramePr/>
                <a:graphic xmlns:a="http://schemas.openxmlformats.org/drawingml/2006/main">
                  <a:graphicData uri="http://schemas.microsoft.com/office/word/2010/wordprocessingShape">
                    <wps:wsp>
                      <wps:cNvSpPr/>
                      <wps:spPr bwMode="auto">
                        <a:xfrm>
                          <a:off x="0" y="0"/>
                          <a:ext cx="4397274" cy="518354"/>
                        </a:xfrm>
                        <a:prstGeom prst="rect">
                          <a:avLst/>
                        </a:prstGeom>
                        <a:solidFill>
                          <a:sysClr val="window" lastClr="FFFFFF">
                            <a:lumMod val="65000"/>
                          </a:sysClr>
                        </a:solidFill>
                        <a:ln w="25400" cap="flat" cmpd="sng" algn="ctr">
                          <a:solidFill>
                            <a:sysClr val="windowText" lastClr="000000"/>
                          </a:solidFill>
                          <a:prstDash val="solid"/>
                        </a:ln>
                        <a:effectLst/>
                      </wps:spPr>
                      <wps:txbx>
                        <w:txbxContent>
                          <w:p w14:paraId="7042E2D1" w14:textId="77777777" w:rsidR="00524C4C" w:rsidRDefault="00524C4C">
                            <w:pPr>
                              <w:jc w:val="center"/>
                              <w:rPr>
                                <w:rFonts w:ascii="Arial" w:hAnsi="Arial" w:cs="Arial"/>
                                <w:sz w:val="20"/>
                                <w:szCs w:val="20"/>
                                <w:lang w:val="hr-BA"/>
                              </w:rPr>
                            </w:pPr>
                            <w:r>
                              <w:rPr>
                                <w:rFonts w:ascii="Arial" w:hAnsi="Arial" w:cs="Arial"/>
                                <w:sz w:val="20"/>
                                <w:szCs w:val="20"/>
                                <w:lang w:val="hr-BA"/>
                              </w:rPr>
                              <w:t>Primjena elektronskih servisa u razmjeni podataka od 2005. godine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35" style="position:absolute;left:0;text-align:left;margin-left:59.2pt;margin-top:19.05pt;width:346.25pt;height:40.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" fillcolor="#a6a6a6" strokecolor="windowText" strokeweight="2pt">
                <v:textbox>
                  <w:txbxContent>
                    <w:p w14:paraId="7042E2D1" w14:textId="77777777" w:rsidR="00524C4C" w:rsidRDefault="00524C4C">
                      <w:pPr>
                        <w:jc w:val="center"/>
                        <w:rPr>
                          <w:rFonts w:ascii="Arial" w:hAnsi="Arial" w:cs="Arial"/>
                          <w:sz w:val="20"/>
                          <w:szCs w:val="20"/>
                          <w:lang w:val="hr-BA"/>
                        </w:rPr>
                      </w:pPr>
                      <w:r>
                        <w:rPr>
                          <w:rFonts w:ascii="Arial" w:hAnsi="Arial" w:cs="Arial"/>
                          <w:sz w:val="20"/>
                          <w:szCs w:val="20"/>
                          <w:lang w:val="hr-BA"/>
                        </w:rPr>
                        <w:t>Primjena elektronskih servisa u razmjeni podataka od 2005. godine</w:t>
                      </w:r>
                    </w:p>
                  </w:txbxContent>
                </v:textbox>
              </v:rect>
            </w:pict>
          </mc:Fallback>
        </mc:AlternateContent>
      </w:r>
    </w:p>
    <w:p w14:paraId="4235ED16" w14:textId="77777777" w:rsidR="001F77DD" w:rsidRDefault="001F77DD">
      <w:pPr>
        <w:jc w:val="both"/>
        <w:rPr>
          <w:rFonts w:ascii="Arial" w:eastAsia="Calibri" w:hAnsi="Arial" w:cs="Arial"/>
          <w:sz w:val="20"/>
          <w:szCs w:val="20"/>
          <w:lang w:val="sr-Latn-BA"/>
        </w:rPr>
      </w:pPr>
    </w:p>
    <w:p w14:paraId="29D536AA" w14:textId="77777777" w:rsidR="001F77DD" w:rsidRDefault="00D97F9C">
      <w:pPr>
        <w:jc w:val="both"/>
        <w:rPr>
          <w:rFonts w:ascii="Arial" w:eastAsia="Calibri" w:hAnsi="Arial" w:cs="Arial"/>
          <w:sz w:val="20"/>
          <w:szCs w:val="20"/>
          <w:lang w:val="sr-Latn-BA"/>
        </w:rPr>
      </w:pPr>
      <w:r>
        <w:rPr>
          <w:rFonts w:ascii="Arial" w:eastAsia="Calibri" w:hAnsi="Arial" w:cs="Arial"/>
          <w:noProof/>
          <w:sz w:val="20"/>
          <w:szCs w:val="20"/>
        </w:rPr>
        <mc:AlternateContent>
          <mc:Choice Requires="wps">
            <w:drawing>
              <wp:anchor distT="0" distB="0" distL="114300" distR="114300" simplePos="0" relativeHeight="251656192" behindDoc="0" locked="0" layoutInCell="1" allowOverlap="1">
                <wp:simplePos x="0" y="0"/>
                <wp:positionH relativeFrom="margin">
                  <wp:align>center</wp:align>
                </wp:positionH>
                <wp:positionV relativeFrom="paragraph">
                  <wp:posOffset>213043</wp:posOffset>
                </wp:positionV>
                <wp:extent cx="4396740" cy="518160"/>
                <wp:effectExtent l="0" t="0" r="22860" b="15240"/>
                <wp:wrapNone/>
                <wp:docPr id="20" name="Rectangle 4"/>
                <wp:cNvGraphicFramePr/>
                <a:graphic xmlns:a="http://schemas.openxmlformats.org/drawingml/2006/main">
                  <a:graphicData uri="http://schemas.microsoft.com/office/word/2010/wordprocessingShape">
                    <wps:wsp>
                      <wps:cNvSpPr/>
                      <wps:spPr bwMode="auto">
                        <a:xfrm>
                          <a:off x="0" y="0"/>
                          <a:ext cx="4396740" cy="518160"/>
                        </a:xfrm>
                        <a:prstGeom prst="rect">
                          <a:avLst/>
                        </a:prstGeom>
                        <a:solidFill>
                          <a:sysClr val="window" lastClr="FFFFFF">
                            <a:lumMod val="65000"/>
                          </a:sysClr>
                        </a:solidFill>
                        <a:ln w="25400" cap="flat" cmpd="sng" algn="ctr">
                          <a:solidFill>
                            <a:sysClr val="windowText" lastClr="000000"/>
                          </a:solidFill>
                          <a:prstDash val="solid"/>
                        </a:ln>
                        <a:effectLst/>
                      </wps:spPr>
                      <wps:txbx>
                        <w:txbxContent>
                          <w:p w14:paraId="31EB9D5B" w14:textId="77777777" w:rsidR="00524C4C" w:rsidRDefault="00524C4C">
                            <w:pPr>
                              <w:jc w:val="center"/>
                              <w:rPr>
                                <w:rFonts w:ascii="Arial" w:hAnsi="Arial" w:cs="Arial"/>
                                <w:sz w:val="20"/>
                                <w:szCs w:val="20"/>
                                <w:lang w:val="hr-BA"/>
                              </w:rPr>
                            </w:pPr>
                            <w:r>
                              <w:rPr>
                                <w:rFonts w:ascii="Arial" w:hAnsi="Arial" w:cs="Arial"/>
                                <w:sz w:val="20"/>
                                <w:szCs w:val="20"/>
                                <w:lang w:val="hr-BA"/>
                              </w:rPr>
                              <w:t>Jedinstveni i savremeni dokumenti od 2002. godine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36" style="position:absolute;left:0;text-align:left;margin-left:0;margin-top:16.8pt;width:346.2pt;height:40.8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" fillcolor="#a6a6a6" strokecolor="windowText" strokeweight="2pt">
                <v:textbox>
                  <w:txbxContent>
                    <w:p w14:paraId="31EB9D5B" w14:textId="77777777" w:rsidR="00524C4C" w:rsidRDefault="00524C4C">
                      <w:pPr>
                        <w:jc w:val="center"/>
                        <w:rPr>
                          <w:rFonts w:ascii="Arial" w:hAnsi="Arial" w:cs="Arial"/>
                          <w:sz w:val="20"/>
                          <w:szCs w:val="20"/>
                          <w:lang w:val="hr-BA"/>
                        </w:rPr>
                      </w:pPr>
                      <w:r>
                        <w:rPr>
                          <w:rFonts w:ascii="Arial" w:hAnsi="Arial" w:cs="Arial"/>
                          <w:sz w:val="20"/>
                          <w:szCs w:val="20"/>
                          <w:lang w:val="hr-BA"/>
                        </w:rPr>
                        <w:t>Jedinstveni i savremeni dokumenti od 2002. godine</w:t>
                      </w:r>
                    </w:p>
                  </w:txbxContent>
                </v:textbox>
                <w10:wrap anchorx="margin"/>
              </v:rect>
            </w:pict>
          </mc:Fallback>
        </mc:AlternateContent>
      </w:r>
    </w:p>
    <w:p w14:paraId="739EF125" w14:textId="77777777" w:rsidR="001F77DD" w:rsidRDefault="001F77DD">
      <w:pPr>
        <w:jc w:val="both"/>
        <w:rPr>
          <w:rFonts w:ascii="Arial" w:eastAsia="Calibri" w:hAnsi="Arial" w:cs="Arial"/>
          <w:sz w:val="20"/>
          <w:szCs w:val="20"/>
          <w:lang w:val="sr-Latn-BA"/>
        </w:rPr>
      </w:pPr>
    </w:p>
    <w:p w14:paraId="33960D08" w14:textId="3D498255" w:rsidR="001F77DD" w:rsidRDefault="00D97F9C">
      <w:pPr>
        <w:jc w:val="both"/>
        <w:rPr>
          <w:rFonts w:ascii="Arial" w:eastAsia="Calibri" w:hAnsi="Arial" w:cs="Arial"/>
          <w:sz w:val="20"/>
          <w:szCs w:val="20"/>
          <w:lang w:val="sr-Latn-BA"/>
        </w:rPr>
      </w:pPr>
      <w:r>
        <w:rPr>
          <w:rFonts w:ascii="Arial" w:eastAsia="Calibri" w:hAnsi="Arial" w:cs="Arial"/>
          <w:noProof/>
          <w:sz w:val="20"/>
          <w:szCs w:val="20"/>
        </w:rPr>
        <mc:AlternateContent>
          <mc:Choice Requires="wps">
            <w:drawing>
              <wp:anchor distT="0" distB="0" distL="114300" distR="114300" simplePos="0" relativeHeight="251654144" behindDoc="0" locked="0" layoutInCell="1" allowOverlap="1">
                <wp:simplePos x="0" y="0"/>
                <wp:positionH relativeFrom="column">
                  <wp:posOffset>2971800</wp:posOffset>
                </wp:positionH>
                <wp:positionV relativeFrom="paragraph">
                  <wp:posOffset>161608</wp:posOffset>
                </wp:positionV>
                <wp:extent cx="2178050" cy="495300"/>
                <wp:effectExtent l="0" t="0" r="12700" b="19050"/>
                <wp:wrapNone/>
                <wp:docPr id="21" name="Rectangle 16"/>
                <wp:cNvGraphicFramePr/>
                <a:graphic xmlns:a="http://schemas.openxmlformats.org/drawingml/2006/main">
                  <a:graphicData uri="http://schemas.microsoft.com/office/word/2010/wordprocessingShape">
                    <wps:wsp>
                      <wps:cNvSpPr/>
                      <wps:spPr bwMode="auto">
                        <a:xfrm>
                          <a:off x="0" y="0"/>
                          <a:ext cx="2178050" cy="495300"/>
                        </a:xfrm>
                        <a:prstGeom prst="rect">
                          <a:avLst/>
                        </a:prstGeom>
                        <a:solidFill>
                          <a:sysClr val="window" lastClr="FFFFFF">
                            <a:lumMod val="65000"/>
                          </a:sysClr>
                        </a:solidFill>
                        <a:ln w="25400" cap="flat" cmpd="sng" algn="ctr">
                          <a:solidFill>
                            <a:sysClr val="windowText" lastClr="000000"/>
                          </a:solidFill>
                          <a:prstDash val="solid"/>
                        </a:ln>
                        <a:effectLst/>
                      </wps:spPr>
                      <wps:txbx>
                        <w:txbxContent>
                          <w:p w14:paraId="2626E7E1" w14:textId="77777777" w:rsidR="00524C4C" w:rsidRDefault="00524C4C">
                            <w:pPr>
                              <w:jc w:val="center"/>
                              <w:rPr>
                                <w:rFonts w:ascii="Arial" w:hAnsi="Arial" w:cs="Arial"/>
                                <w:sz w:val="20"/>
                                <w:szCs w:val="20"/>
                                <w:lang w:val="hr-BA"/>
                              </w:rPr>
                            </w:pPr>
                            <w:r>
                              <w:rPr>
                                <w:rFonts w:ascii="Arial" w:hAnsi="Arial" w:cs="Arial"/>
                                <w:sz w:val="20"/>
                                <w:szCs w:val="20"/>
                                <w:lang w:val="hr-BA"/>
                              </w:rPr>
                              <w:t>Vlastita telekomunikaciona mreža od 2002. godine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37" style="position:absolute;left:0;text-align:left;margin-left:234pt;margin-top:12.75pt;width:171.5pt;height:3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" fillcolor="#a6a6a6" strokecolor="windowText" strokeweight="2pt">
                <v:textbox>
                  <w:txbxContent>
                    <w:p w14:paraId="2626E7E1" w14:textId="77777777" w:rsidR="00524C4C" w:rsidRDefault="00524C4C">
                      <w:pPr>
                        <w:jc w:val="center"/>
                        <w:rPr>
                          <w:rFonts w:ascii="Arial" w:hAnsi="Arial" w:cs="Arial"/>
                          <w:sz w:val="20"/>
                          <w:szCs w:val="20"/>
                          <w:lang w:val="hr-BA"/>
                        </w:rPr>
                      </w:pPr>
                      <w:r>
                        <w:rPr>
                          <w:rFonts w:ascii="Arial" w:hAnsi="Arial" w:cs="Arial"/>
                          <w:sz w:val="20"/>
                          <w:szCs w:val="20"/>
                          <w:lang w:val="hr-BA"/>
                        </w:rPr>
                        <w:t>Vlastita telekomunikaciona mreža od 2002. godine</w:t>
                      </w:r>
                    </w:p>
                  </w:txbxContent>
                </v:textbox>
              </v:rect>
            </w:pict>
          </mc:Fallback>
        </mc:AlternateContent>
      </w:r>
      <w:r>
        <w:rPr>
          <w:rFonts w:ascii="Arial" w:eastAsia="Calibri" w:hAnsi="Arial" w:cs="Arial"/>
          <w:noProof/>
          <w:sz w:val="20"/>
          <w:szCs w:val="20"/>
        </w:rPr>
        <mc:AlternateContent>
          <mc:Choice Requires="wps">
            <w:drawing>
              <wp:anchor distT="0" distB="0" distL="114300" distR="114300" simplePos="0" relativeHeight="251648000" behindDoc="0" locked="0" layoutInCell="1" allowOverlap="1">
                <wp:simplePos x="0" y="0"/>
                <wp:positionH relativeFrom="column">
                  <wp:posOffset>779780</wp:posOffset>
                </wp:positionH>
                <wp:positionV relativeFrom="paragraph">
                  <wp:posOffset>132715</wp:posOffset>
                </wp:positionV>
                <wp:extent cx="2178050" cy="518160"/>
                <wp:effectExtent l="0" t="0" r="12700" b="15240"/>
                <wp:wrapNone/>
                <wp:docPr id="22" name="Rectangle 17"/>
                <wp:cNvGraphicFramePr/>
                <a:graphic xmlns:a="http://schemas.openxmlformats.org/drawingml/2006/main">
                  <a:graphicData uri="http://schemas.microsoft.com/office/word/2010/wordprocessingShape">
                    <wps:wsp>
                      <wps:cNvSpPr/>
                      <wps:spPr bwMode="auto">
                        <a:xfrm>
                          <a:off x="0" y="0"/>
                          <a:ext cx="2178050" cy="518160"/>
                        </a:xfrm>
                        <a:prstGeom prst="rect">
                          <a:avLst/>
                        </a:prstGeom>
                        <a:solidFill>
                          <a:sysClr val="window" lastClr="FFFFFF">
                            <a:lumMod val="65000"/>
                          </a:sysClr>
                        </a:solidFill>
                        <a:ln w="25400" cap="flat" cmpd="sng" algn="ctr">
                          <a:solidFill>
                            <a:sysClr val="windowText" lastClr="000000"/>
                          </a:solidFill>
                          <a:prstDash val="solid"/>
                        </a:ln>
                        <a:effectLst/>
                      </wps:spPr>
                      <wps:txbx>
                        <w:txbxContent>
                          <w:p w14:paraId="6A22F183" w14:textId="77777777" w:rsidR="00524C4C" w:rsidRDefault="00524C4C">
                            <w:pPr>
                              <w:jc w:val="center"/>
                              <w:rPr>
                                <w:rFonts w:ascii="Arial" w:hAnsi="Arial" w:cs="Arial"/>
                                <w:sz w:val="20"/>
                                <w:szCs w:val="20"/>
                                <w:lang w:val="hr-BA"/>
                              </w:rPr>
                            </w:pPr>
                            <w:r>
                              <w:rPr>
                                <w:rFonts w:ascii="Arial" w:hAnsi="Arial" w:cs="Arial"/>
                                <w:sz w:val="20"/>
                                <w:szCs w:val="20"/>
                                <w:lang w:val="hr-BA"/>
                              </w:rPr>
                              <w:t>Strukturirane centralne evidencije od 2002. godine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38" style="position:absolute;left:0;text-align:left;margin-left:61.4pt;margin-top:10.45pt;width:171.5pt;height:40.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" fillcolor="#a6a6a6" strokecolor="windowText" strokeweight="2pt">
                <v:textbox>
                  <w:txbxContent>
                    <w:p w14:paraId="6A22F183" w14:textId="77777777" w:rsidR="00524C4C" w:rsidRDefault="00524C4C">
                      <w:pPr>
                        <w:jc w:val="center"/>
                        <w:rPr>
                          <w:rFonts w:ascii="Arial" w:hAnsi="Arial" w:cs="Arial"/>
                          <w:sz w:val="20"/>
                          <w:szCs w:val="20"/>
                          <w:lang w:val="hr-BA"/>
                        </w:rPr>
                      </w:pPr>
                      <w:r>
                        <w:rPr>
                          <w:rFonts w:ascii="Arial" w:hAnsi="Arial" w:cs="Arial"/>
                          <w:sz w:val="20"/>
                          <w:szCs w:val="20"/>
                          <w:lang w:val="hr-BA"/>
                        </w:rPr>
                        <w:t>Strukturirane centralne evidencije od 2002. godine</w:t>
                      </w:r>
                    </w:p>
                  </w:txbxContent>
                </v:textbox>
              </v:rect>
            </w:pict>
          </mc:Fallback>
        </mc:AlternateContent>
      </w:r>
    </w:p>
    <w:p w14:paraId="1E7EB7A9" w14:textId="77777777" w:rsidR="001F77DD" w:rsidRDefault="001F77DD">
      <w:pPr>
        <w:ind w:left="720" w:firstLine="720"/>
        <w:jc w:val="both"/>
        <w:rPr>
          <w:rFonts w:ascii="Arial" w:eastAsia="Calibri" w:hAnsi="Arial" w:cs="Arial"/>
          <w:sz w:val="20"/>
          <w:szCs w:val="20"/>
          <w:lang w:val="sr-Latn-BA"/>
        </w:rPr>
      </w:pPr>
    </w:p>
    <w:p w14:paraId="7F0C8210" w14:textId="77777777" w:rsidR="001F77DD" w:rsidRDefault="001F77DD">
      <w:pPr>
        <w:jc w:val="center"/>
        <w:rPr>
          <w:rFonts w:ascii="Arial" w:eastAsia="Calibri" w:hAnsi="Arial" w:cs="Arial"/>
          <w:sz w:val="20"/>
          <w:szCs w:val="20"/>
          <w:lang w:val="sr-Latn-BA"/>
        </w:rPr>
      </w:pPr>
    </w:p>
    <w:p w14:paraId="7E589A5E" w14:textId="02F4A938" w:rsidR="001F77DD" w:rsidRDefault="00D97F9C">
      <w:pPr>
        <w:jc w:val="center"/>
        <w:rPr>
          <w:rFonts w:ascii="Arial" w:eastAsia="Calibri" w:hAnsi="Arial" w:cs="Arial"/>
          <w:sz w:val="20"/>
          <w:szCs w:val="20"/>
          <w:lang w:val="sr-Latn-BA"/>
        </w:rPr>
      </w:pPr>
      <w:r>
        <w:rPr>
          <w:rFonts w:ascii="Arial" w:eastAsia="Calibri" w:hAnsi="Arial" w:cs="Arial"/>
          <w:sz w:val="20"/>
          <w:szCs w:val="20"/>
          <w:lang w:val="sr-Latn-BA"/>
        </w:rPr>
        <w:t>Gradivni blokovi digitalnog društva u oblasti rada Agencije</w:t>
      </w:r>
    </w:p>
    <w:p w14:paraId="28270F65" w14:textId="77777777" w:rsidR="001F77DD" w:rsidRDefault="00D97F9C">
      <w:pPr>
        <w:jc w:val="both"/>
        <w:rPr>
          <w:rFonts w:ascii="Arial" w:eastAsia="Calibri" w:hAnsi="Arial" w:cs="Arial"/>
          <w:b/>
          <w:sz w:val="16"/>
          <w:szCs w:val="16"/>
          <w:u w:val="single"/>
          <w:lang w:val="sr-Latn-BA"/>
        </w:rPr>
      </w:pPr>
      <w:r>
        <w:rPr>
          <w:rFonts w:ascii="Arial" w:eastAsia="Calibri" w:hAnsi="Arial" w:cs="Arial"/>
          <w:b/>
          <w:sz w:val="16"/>
          <w:szCs w:val="16"/>
          <w:highlight w:val="lightGray"/>
          <w:lang w:val="sr-Latn-BA"/>
        </w:rPr>
        <w:t xml:space="preserve">*  </w:t>
      </w:r>
      <w:hyperlink r:id="rId12" w:tooltip="https://eufordigital.eu/library/2030-digital-compass-the-european-way-for-the-digital-decade/" w:history="1">
        <w:r>
          <w:rPr>
            <w:rFonts w:ascii="Arial" w:eastAsia="Calibri" w:hAnsi="Arial" w:cs="Arial"/>
            <w:b/>
            <w:color w:val="0000FF"/>
            <w:sz w:val="16"/>
            <w:szCs w:val="16"/>
            <w:highlight w:val="lightGray"/>
            <w:u w:val="single"/>
            <w:lang w:val="sr-Latn-BA"/>
          </w:rPr>
          <w:t>https://eufordigital.eu/library/2030-digital-compass-the-european-way-for-the-digital-decade/</w:t>
        </w:r>
      </w:hyperlink>
    </w:p>
    <w:p w14:paraId="7D866A48"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U skladu sa strateškim ciljevima koji su definirani nacrtom Strateškog okvira Bosne i Hercegovine, uvažavajući nadležnosti i viziju Agencije određeni su i srednjoročni ciljevi koji podrazumijevaju unapređenje sistema dokumenata uz poštovanje međunarodnih preporuka, efikasnost vođenja registara i razmjene podataka omogućavanjem visoke dostupnosti usluga korištenja telekomunikacione mreže svim izvornim i prijemnim organima što sve zajedno doprinosi jačanju vladavine prava i transparentnoj, efikasnoj i odgovornoj javnoj upravi.</w:t>
      </w:r>
    </w:p>
    <w:p w14:paraId="28A84F22" w14:textId="49636C0F"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Kako bi očuvala postojeći kvalitet poslovnih procesa te pružila nove proizvode i usluge u segmentu identiteta i sigurnosti, Agencija svoju djelatnost realizuje kroz sljedeće strateške ciljeve:</w:t>
      </w:r>
    </w:p>
    <w:p w14:paraId="06354A21" w14:textId="6C94013F" w:rsidR="001F77DD" w:rsidRDefault="001F77DD">
      <w:pPr>
        <w:spacing w:after="0" w:line="360" w:lineRule="auto"/>
        <w:jc w:val="both"/>
        <w:rPr>
          <w:rFonts w:ascii="Arial" w:eastAsia="Calibri" w:hAnsi="Arial" w:cs="Arial"/>
          <w:sz w:val="20"/>
          <w:szCs w:val="20"/>
          <w:lang w:val="sr-Latn-BA"/>
        </w:rPr>
      </w:pPr>
    </w:p>
    <w:p w14:paraId="0500B956" w14:textId="49A86E79" w:rsidR="001F77DD" w:rsidRDefault="001F77DD">
      <w:pPr>
        <w:spacing w:after="0" w:line="360" w:lineRule="auto"/>
        <w:jc w:val="both"/>
        <w:rPr>
          <w:rFonts w:ascii="Arial" w:eastAsia="Calibri" w:hAnsi="Arial" w:cs="Arial"/>
          <w:sz w:val="20"/>
          <w:szCs w:val="20"/>
          <w:lang w:val="sr-Latn-BA"/>
        </w:rPr>
      </w:pPr>
    </w:p>
    <w:p w14:paraId="5DA2EAFA" w14:textId="77777777" w:rsidR="001F77DD" w:rsidRDefault="001F77DD">
      <w:pPr>
        <w:spacing w:after="0" w:line="360" w:lineRule="auto"/>
        <w:jc w:val="both"/>
        <w:rPr>
          <w:rFonts w:ascii="Arial" w:eastAsia="Calibri" w:hAnsi="Arial" w:cs="Arial"/>
          <w:sz w:val="20"/>
          <w:szCs w:val="20"/>
          <w:lang w:val="sr-Latn-BA"/>
        </w:rPr>
      </w:pPr>
    </w:p>
    <w:p w14:paraId="5BF0924F" w14:textId="77777777" w:rsidR="001F77DD" w:rsidRDefault="001F77DD">
      <w:pPr>
        <w:spacing w:after="0" w:line="360" w:lineRule="auto"/>
        <w:jc w:val="both"/>
        <w:rPr>
          <w:rFonts w:ascii="Arial" w:eastAsia="Calibri" w:hAnsi="Arial" w:cs="Arial"/>
          <w:sz w:val="20"/>
          <w:szCs w:val="20"/>
          <w:lang w:val="sr-Latn-BA"/>
        </w:rPr>
      </w:pPr>
    </w:p>
    <w:p w14:paraId="54979E52" w14:textId="77777777" w:rsidR="001F77DD" w:rsidRDefault="001F77DD">
      <w:pPr>
        <w:spacing w:after="0" w:line="360" w:lineRule="auto"/>
        <w:jc w:val="both"/>
        <w:rPr>
          <w:rFonts w:ascii="Arial" w:eastAsia="Calibri" w:hAnsi="Arial" w:cs="Arial"/>
          <w:sz w:val="20"/>
          <w:szCs w:val="20"/>
          <w:lang w:val="sr-Latn-BA"/>
        </w:rPr>
      </w:pPr>
    </w:p>
    <w:p w14:paraId="57A18030" w14:textId="77777777" w:rsidR="001F77DD" w:rsidRDefault="00D97F9C">
      <w:pPr>
        <w:spacing w:after="0" w:line="360" w:lineRule="auto"/>
        <w:jc w:val="both"/>
        <w:rPr>
          <w:rFonts w:ascii="Arial" w:eastAsia="Calibri" w:hAnsi="Arial" w:cs="Arial"/>
          <w:b/>
          <w:sz w:val="20"/>
          <w:szCs w:val="20"/>
          <w:lang w:val="sr-Latn-BA"/>
        </w:rPr>
      </w:pPr>
      <w:r>
        <w:rPr>
          <w:rFonts w:ascii="Arial" w:eastAsia="Calibri" w:hAnsi="Arial" w:cs="Arial"/>
          <w:sz w:val="20"/>
          <w:szCs w:val="20"/>
          <w:lang w:val="sr-Latn-BA"/>
        </w:rPr>
        <w:t xml:space="preserve">Kontinuirani rast i razvoj tehnoloških procesa, tehnološke inovacije, trendovi  u razvoju informacionih tehnologija pokreću niz izazova i stvaraju veća očekivanja i zahtjeve, ali istovremeno nude mogućnost za rast i inovativnost. Agencija je odlučna djelovati na izazove sa kojima se kao zajednica suočavamo te pratiti  procese i stvarati inovativna i fleksibilna rješenja koja će pridonijeti razvoju javne uprave i društva općenito.   </w:t>
      </w:r>
    </w:p>
    <w:p w14:paraId="4275FBFB" w14:textId="77777777" w:rsidR="001F77DD" w:rsidRDefault="001F77DD">
      <w:pPr>
        <w:rPr>
          <w:rFonts w:ascii="Arial" w:eastAsia="Calibri" w:hAnsi="Arial" w:cs="Arial"/>
          <w:b/>
          <w:sz w:val="20"/>
          <w:szCs w:val="20"/>
          <w:lang w:val="sr-Latn-BA"/>
        </w:rPr>
      </w:pPr>
    </w:p>
    <w:p w14:paraId="2CC04E0C" w14:textId="6C20F523" w:rsidR="001F77DD" w:rsidRDefault="00D97F9C">
      <w:pPr>
        <w:spacing w:before="100" w:beforeAutospacing="1" w:after="100" w:afterAutospacing="1" w:line="240" w:lineRule="auto"/>
        <w:outlineLvl w:val="1"/>
        <w:rPr>
          <w:rFonts w:ascii="Arial" w:eastAsia="Times New Roman" w:hAnsi="Arial" w:cs="Arial"/>
          <w:b/>
          <w:bCs/>
          <w:sz w:val="20"/>
          <w:szCs w:val="24"/>
          <w:lang w:val="bs-Latn-BA" w:eastAsia="bs-Latn-BA"/>
        </w:rPr>
      </w:pPr>
      <w:r>
        <w:rPr>
          <w:rFonts w:ascii="Arial" w:eastAsia="Times New Roman" w:hAnsi="Arial" w:cs="Arial"/>
          <w:b/>
          <w:bCs/>
          <w:sz w:val="20"/>
          <w:szCs w:val="24"/>
          <w:lang w:val="bs-Latn-BA" w:eastAsia="bs-Latn-BA"/>
        </w:rPr>
        <w:t>5.1. Sigurni i međunarodno interoperabilni identifikacioni dokumenti i personalizacija</w:t>
      </w:r>
    </w:p>
    <w:p w14:paraId="687EFAC6" w14:textId="77777777" w:rsidR="001F77DD" w:rsidRDefault="00D97F9C">
      <w:pPr>
        <w:spacing w:beforeAutospacing="1" w:after="100" w:afterAutospacing="1" w:line="240" w:lineRule="auto"/>
        <w:rPr>
          <w:rFonts w:ascii="Arial" w:eastAsia="Times New Roman" w:hAnsi="Arial" w:cs="Arial"/>
          <w:sz w:val="20"/>
          <w:szCs w:val="24"/>
          <w:lang w:val="bs-Latn-BA" w:eastAsia="bs-Latn-BA"/>
        </w:rPr>
      </w:pPr>
      <w:r>
        <w:rPr>
          <w:rFonts w:ascii="Arial" w:eastAsia="Times New Roman" w:hAnsi="Arial" w:cs="Arial"/>
          <w:sz w:val="20"/>
          <w:szCs w:val="24"/>
          <w:lang w:val="bs-Latn-BA" w:eastAsia="bs-Latn-BA"/>
        </w:rPr>
        <w:t>Cilj je osigurati kontinuiran razvoj sigurnosti, kvaliteta, međunarodne interoperabilnosti, pouzdanosti personalizacije i kontinuiteta proizvodnje identifikacionih dokumenata iz djelokruga Agencije.</w:t>
      </w:r>
    </w:p>
    <w:p w14:paraId="6A6764A7" w14:textId="77777777" w:rsidR="001F77DD" w:rsidRDefault="00D97F9C">
      <w:pPr>
        <w:spacing w:before="100" w:beforeAutospacing="1" w:after="100" w:afterAutospacing="1" w:line="240" w:lineRule="auto"/>
        <w:rPr>
          <w:rFonts w:ascii="Arial" w:eastAsia="Times New Roman" w:hAnsi="Arial" w:cs="Arial"/>
          <w:sz w:val="20"/>
          <w:szCs w:val="24"/>
          <w:lang w:val="bs-Latn-BA" w:eastAsia="bs-Latn-BA"/>
        </w:rPr>
      </w:pPr>
      <w:r>
        <w:rPr>
          <w:rFonts w:ascii="Arial" w:eastAsia="Times New Roman" w:hAnsi="Arial" w:cs="Arial"/>
          <w:sz w:val="20"/>
          <w:szCs w:val="24"/>
          <w:lang w:val="bs-Latn-BA" w:eastAsia="bs-Latn-BA"/>
        </w:rPr>
        <w:t>Mjere: nove generacije dokumenata; zaštitni elementi; personalizacija; QC; sljedivost; ICAO; PKD/PKI komponente; DR proizvodnje.</w:t>
      </w:r>
    </w:p>
    <w:p w14:paraId="1B8D5BFF" w14:textId="1C30367F" w:rsidR="001F77DD" w:rsidRDefault="00D97F9C">
      <w:pPr>
        <w:spacing w:before="100" w:beforeAutospacing="1" w:after="100" w:afterAutospacing="1" w:line="240" w:lineRule="auto"/>
        <w:outlineLvl w:val="1"/>
        <w:rPr>
          <w:rFonts w:ascii="Arial" w:eastAsia="Times New Roman" w:hAnsi="Arial" w:cs="Arial"/>
          <w:b/>
          <w:bCs/>
          <w:sz w:val="20"/>
          <w:szCs w:val="24"/>
          <w:lang w:val="bs-Latn-BA" w:eastAsia="bs-Latn-BA"/>
        </w:rPr>
      </w:pPr>
      <w:r>
        <w:rPr>
          <w:rFonts w:ascii="Arial" w:eastAsia="Times New Roman" w:hAnsi="Arial" w:cs="Arial"/>
          <w:b/>
          <w:bCs/>
          <w:sz w:val="20"/>
          <w:szCs w:val="24"/>
          <w:lang w:val="bs-Latn-BA" w:eastAsia="bs-Latn-BA"/>
        </w:rPr>
        <w:t>5.2.  Pouzdane centralne evidencije i kvalitet podataka</w:t>
      </w:r>
    </w:p>
    <w:p w14:paraId="190F0CBF" w14:textId="77777777" w:rsidR="001F77DD" w:rsidRDefault="00D97F9C">
      <w:pPr>
        <w:spacing w:beforeAutospacing="1" w:after="100" w:afterAutospacing="1" w:line="240" w:lineRule="auto"/>
        <w:rPr>
          <w:rFonts w:ascii="Arial" w:eastAsia="Times New Roman" w:hAnsi="Arial" w:cs="Arial"/>
          <w:sz w:val="20"/>
          <w:szCs w:val="24"/>
          <w:lang w:val="bs-Latn-BA" w:eastAsia="bs-Latn-BA"/>
        </w:rPr>
      </w:pPr>
      <w:r>
        <w:rPr>
          <w:rFonts w:ascii="Arial" w:eastAsia="Times New Roman" w:hAnsi="Arial" w:cs="Arial"/>
          <w:sz w:val="20"/>
          <w:szCs w:val="24"/>
          <w:lang w:val="bs-Latn-BA" w:eastAsia="bs-Latn-BA"/>
        </w:rPr>
        <w:t>Cilj je osigurati visoku raspoloživost, integritet, sigurnost, performanse i kontinuitet centralnih evidencija koje Agencija tehnički održava.</w:t>
      </w:r>
    </w:p>
    <w:p w14:paraId="7168BD52" w14:textId="7240DE85" w:rsidR="001F77DD" w:rsidRDefault="00D97F9C">
      <w:pPr>
        <w:spacing w:before="100" w:beforeAutospacing="1" w:after="100" w:afterAutospacing="1" w:line="240" w:lineRule="auto"/>
        <w:outlineLvl w:val="1"/>
        <w:rPr>
          <w:rFonts w:ascii="Arial" w:eastAsia="Times New Roman" w:hAnsi="Arial" w:cs="Arial"/>
          <w:b/>
          <w:bCs/>
          <w:sz w:val="20"/>
          <w:szCs w:val="24"/>
          <w:lang w:val="bs-Latn-BA" w:eastAsia="bs-Latn-BA"/>
        </w:rPr>
      </w:pPr>
      <w:r>
        <w:rPr>
          <w:rFonts w:ascii="Arial" w:eastAsia="Times New Roman" w:hAnsi="Arial" w:cs="Arial"/>
          <w:b/>
          <w:bCs/>
          <w:sz w:val="20"/>
          <w:szCs w:val="24"/>
          <w:lang w:val="bs-Latn-BA" w:eastAsia="bs-Latn-BA"/>
        </w:rPr>
        <w:t>5.3.  Sigurna razmjena podataka i mrežna infrastruktura</w:t>
      </w:r>
    </w:p>
    <w:p w14:paraId="5A33ECFF" w14:textId="77777777" w:rsidR="001F77DD" w:rsidRDefault="00D97F9C">
      <w:pPr>
        <w:spacing w:beforeAutospacing="1" w:after="100" w:afterAutospacing="1" w:line="240" w:lineRule="auto"/>
        <w:rPr>
          <w:rFonts w:ascii="Arial" w:eastAsia="Times New Roman" w:hAnsi="Arial" w:cs="Arial"/>
          <w:sz w:val="20"/>
          <w:szCs w:val="24"/>
          <w:lang w:val="bs-Latn-BA" w:eastAsia="bs-Latn-BA"/>
        </w:rPr>
      </w:pPr>
      <w:r>
        <w:rPr>
          <w:rFonts w:ascii="Arial" w:eastAsia="Times New Roman" w:hAnsi="Arial" w:cs="Arial"/>
          <w:sz w:val="20"/>
          <w:szCs w:val="24"/>
          <w:lang w:val="bs-Latn-BA" w:eastAsia="bs-Latn-BA"/>
        </w:rPr>
        <w:t>Cilj je razvijati sigurnu, visokodostupnu i interoperabilnu infrastrukturu za zakonom dopušten pristup, prijenos i razmjenu podataka.</w:t>
      </w:r>
    </w:p>
    <w:p w14:paraId="1517D65F" w14:textId="42C7A2F7" w:rsidR="001F77DD" w:rsidRDefault="00D97F9C">
      <w:pPr>
        <w:spacing w:before="100" w:beforeAutospacing="1" w:after="100" w:afterAutospacing="1" w:line="240" w:lineRule="auto"/>
        <w:outlineLvl w:val="1"/>
        <w:rPr>
          <w:rFonts w:ascii="Arial" w:eastAsia="Times New Roman" w:hAnsi="Arial" w:cs="Arial"/>
          <w:b/>
          <w:bCs/>
          <w:sz w:val="20"/>
          <w:szCs w:val="24"/>
          <w:lang w:val="bs-Latn-BA" w:eastAsia="bs-Latn-BA"/>
        </w:rPr>
      </w:pPr>
      <w:r>
        <w:rPr>
          <w:rFonts w:ascii="Arial" w:eastAsia="Times New Roman" w:hAnsi="Arial" w:cs="Arial"/>
          <w:b/>
          <w:bCs/>
          <w:sz w:val="20"/>
          <w:szCs w:val="24"/>
          <w:lang w:val="bs-Latn-BA" w:eastAsia="bs-Latn-BA"/>
        </w:rPr>
        <w:t>5.4.  Digitalni identitet, elektronski certifikati i digitalno potpisivanje</w:t>
      </w:r>
    </w:p>
    <w:p w14:paraId="4E87A4EC" w14:textId="77777777" w:rsidR="001F77DD" w:rsidRDefault="00D97F9C">
      <w:pPr>
        <w:spacing w:beforeAutospacing="1" w:after="100" w:afterAutospacing="1" w:line="240" w:lineRule="auto"/>
        <w:rPr>
          <w:rFonts w:ascii="Arial" w:eastAsia="Times New Roman" w:hAnsi="Arial" w:cs="Arial"/>
          <w:sz w:val="20"/>
          <w:szCs w:val="24"/>
          <w:lang w:val="bs-Latn-BA" w:eastAsia="bs-Latn-BA"/>
        </w:rPr>
      </w:pPr>
      <w:r>
        <w:rPr>
          <w:rFonts w:ascii="Arial" w:eastAsia="Times New Roman" w:hAnsi="Arial" w:cs="Arial"/>
          <w:sz w:val="20"/>
          <w:szCs w:val="24"/>
          <w:lang w:val="bs-Latn-BA" w:eastAsia="bs-Latn-BA"/>
        </w:rPr>
        <w:t>Cilj je razvijati digitalni identitet u značenju Uputstva 31/25, PKI i certifikacijsku infrastrukturu, elektronske certifikate i sisteme digitalnog potpisivanja u okviru zakonskih nadležnosti Agencije.</w:t>
      </w:r>
    </w:p>
    <w:p w14:paraId="44CEC43B" w14:textId="09303226" w:rsidR="001F77DD" w:rsidRDefault="00D97F9C">
      <w:pPr>
        <w:spacing w:before="100" w:beforeAutospacing="1" w:after="100" w:afterAutospacing="1" w:line="240" w:lineRule="auto"/>
        <w:outlineLvl w:val="1"/>
        <w:rPr>
          <w:rFonts w:ascii="Arial" w:eastAsia="Times New Roman" w:hAnsi="Arial" w:cs="Arial"/>
          <w:b/>
          <w:bCs/>
          <w:sz w:val="20"/>
          <w:szCs w:val="24"/>
          <w:lang w:val="bs-Latn-BA" w:eastAsia="bs-Latn-BA"/>
        </w:rPr>
      </w:pPr>
      <w:r>
        <w:rPr>
          <w:rFonts w:ascii="Arial" w:eastAsia="Times New Roman" w:hAnsi="Arial" w:cs="Arial"/>
          <w:b/>
          <w:bCs/>
          <w:sz w:val="20"/>
          <w:szCs w:val="24"/>
          <w:lang w:val="bs-Latn-BA" w:eastAsia="bs-Latn-BA"/>
        </w:rPr>
        <w:t>5.5. Cyber sigurnost, zaštita ličnih podataka i otpornost</w:t>
      </w:r>
    </w:p>
    <w:p w14:paraId="4B4AE4BF" w14:textId="77777777" w:rsidR="001F77DD" w:rsidRDefault="00D97F9C">
      <w:pPr>
        <w:spacing w:beforeAutospacing="1" w:after="100" w:afterAutospacing="1" w:line="240" w:lineRule="auto"/>
        <w:rPr>
          <w:rFonts w:ascii="Arial" w:eastAsia="Times New Roman" w:hAnsi="Arial" w:cs="Arial"/>
          <w:sz w:val="20"/>
          <w:szCs w:val="24"/>
          <w:lang w:val="bs-Latn-BA" w:eastAsia="bs-Latn-BA"/>
        </w:rPr>
      </w:pPr>
      <w:r>
        <w:rPr>
          <w:rFonts w:ascii="Arial" w:eastAsia="Times New Roman" w:hAnsi="Arial" w:cs="Arial"/>
          <w:sz w:val="20"/>
          <w:szCs w:val="24"/>
          <w:lang w:val="bs-Latn-BA" w:eastAsia="bs-Latn-BA"/>
        </w:rPr>
        <w:t>Cilj je povećati otpornost Sistema IDDEEA na cyber, tehničke, fizičke i druge rizike te osigurati visok nivo zaštite podataka i kontinuiteta poslovanja.</w:t>
      </w:r>
    </w:p>
    <w:p w14:paraId="13366103" w14:textId="68B44276" w:rsidR="001F77DD" w:rsidRDefault="00D97F9C">
      <w:pPr>
        <w:spacing w:before="100" w:beforeAutospacing="1" w:after="100" w:afterAutospacing="1" w:line="240" w:lineRule="auto"/>
        <w:outlineLvl w:val="1"/>
        <w:rPr>
          <w:rFonts w:ascii="Arial" w:eastAsia="Times New Roman" w:hAnsi="Arial" w:cs="Arial"/>
          <w:b/>
          <w:bCs/>
          <w:sz w:val="20"/>
          <w:szCs w:val="24"/>
          <w:lang w:val="bs-Latn-BA" w:eastAsia="bs-Latn-BA"/>
        </w:rPr>
      </w:pPr>
      <w:r>
        <w:rPr>
          <w:rFonts w:ascii="Arial" w:eastAsia="Times New Roman" w:hAnsi="Arial" w:cs="Arial"/>
          <w:b/>
          <w:bCs/>
          <w:sz w:val="20"/>
          <w:szCs w:val="24"/>
          <w:lang w:val="bs-Latn-BA" w:eastAsia="bs-Latn-BA"/>
        </w:rPr>
        <w:t>5.6. Međunarodna interoperabilnost i razvojna saradnja</w:t>
      </w:r>
    </w:p>
    <w:p w14:paraId="2834599A" w14:textId="77777777" w:rsidR="001F77DD" w:rsidRDefault="00D97F9C">
      <w:pPr>
        <w:spacing w:beforeAutospacing="1" w:after="100" w:afterAutospacing="1" w:line="240" w:lineRule="auto"/>
        <w:rPr>
          <w:rFonts w:ascii="Arial" w:eastAsia="Times New Roman" w:hAnsi="Arial" w:cs="Arial"/>
          <w:sz w:val="20"/>
          <w:szCs w:val="24"/>
          <w:lang w:val="bs-Latn-BA" w:eastAsia="bs-Latn-BA"/>
        </w:rPr>
      </w:pPr>
      <w:r>
        <w:rPr>
          <w:rFonts w:ascii="Arial" w:eastAsia="Times New Roman" w:hAnsi="Arial" w:cs="Arial"/>
          <w:sz w:val="20"/>
          <w:szCs w:val="24"/>
          <w:lang w:val="bs-Latn-BA" w:eastAsia="bs-Latn-BA"/>
        </w:rPr>
        <w:t>Cilj je kroz međunarodnu saradnju i razvojne projekte unaprijediti kapacitete Agencije u oblastima iz njenog zakonskog djelokruga i osigurati praćenje relevantnih međunarodnih standarda i evropskih tehničkih okvira.</w:t>
      </w:r>
    </w:p>
    <w:p w14:paraId="7B5E348B" w14:textId="16583CF3" w:rsidR="001F77DD" w:rsidRDefault="00D97F9C">
      <w:pPr>
        <w:spacing w:before="100" w:beforeAutospacing="1" w:after="100" w:afterAutospacing="1" w:line="240" w:lineRule="auto"/>
        <w:outlineLvl w:val="1"/>
        <w:rPr>
          <w:rFonts w:ascii="Arial" w:eastAsia="Times New Roman" w:hAnsi="Arial" w:cs="Arial"/>
          <w:b/>
          <w:bCs/>
          <w:sz w:val="20"/>
          <w:szCs w:val="24"/>
          <w:lang w:val="bs-Latn-BA" w:eastAsia="bs-Latn-BA"/>
        </w:rPr>
      </w:pPr>
      <w:r>
        <w:rPr>
          <w:rFonts w:ascii="Arial" w:eastAsia="Times New Roman" w:hAnsi="Arial" w:cs="Arial"/>
          <w:b/>
          <w:bCs/>
          <w:sz w:val="20"/>
          <w:szCs w:val="24"/>
          <w:lang w:val="bs-Latn-BA" w:eastAsia="bs-Latn-BA"/>
        </w:rPr>
        <w:t>5.7  Institucionalni kapacitet, kvalitet, integritet i održivo upravljanje</w:t>
      </w:r>
    </w:p>
    <w:p w14:paraId="6812C343" w14:textId="77777777" w:rsidR="001F77DD" w:rsidRDefault="00D97F9C">
      <w:pPr>
        <w:spacing w:beforeAutospacing="1" w:after="100" w:afterAutospacing="1" w:line="240" w:lineRule="auto"/>
        <w:rPr>
          <w:rFonts w:ascii="Arial" w:eastAsia="Times New Roman" w:hAnsi="Arial" w:cs="Arial"/>
          <w:sz w:val="20"/>
          <w:szCs w:val="24"/>
          <w:lang w:val="bs-Latn-BA" w:eastAsia="bs-Latn-BA"/>
        </w:rPr>
      </w:pPr>
      <w:r>
        <w:rPr>
          <w:rFonts w:ascii="Arial" w:eastAsia="Times New Roman" w:hAnsi="Arial" w:cs="Arial"/>
          <w:sz w:val="20"/>
          <w:szCs w:val="24"/>
          <w:lang w:val="bs-Latn-BA" w:eastAsia="bs-Latn-BA"/>
        </w:rPr>
        <w:t>Cilj je osigurati stručne kadrove, odgovarajuću organizaciju, infrastrukturu, sisteme upravljanja, prostorne kapacitete i finansijsku održivost potrebnu za izvršavanje zakonskih funkcija Agencije.</w:t>
      </w:r>
    </w:p>
    <w:p w14:paraId="3F636597" w14:textId="77777777" w:rsidR="001F77DD" w:rsidRDefault="001F77DD">
      <w:pPr>
        <w:rPr>
          <w:rFonts w:ascii="Arial" w:eastAsia="Calibri" w:hAnsi="Arial" w:cs="Arial"/>
          <w:b/>
          <w:sz w:val="16"/>
          <w:szCs w:val="20"/>
          <w:lang w:val="sr-Latn-BA"/>
        </w:rPr>
      </w:pPr>
    </w:p>
    <w:p w14:paraId="69BF8774" w14:textId="2A59501E" w:rsidR="001F77DD" w:rsidRDefault="00D97F9C">
      <w:pPr>
        <w:rPr>
          <w:rFonts w:ascii="Arial" w:eastAsia="Calibri" w:hAnsi="Arial" w:cs="Arial"/>
          <w:b/>
          <w:sz w:val="20"/>
          <w:szCs w:val="20"/>
          <w:lang w:val="sr-Latn-BA"/>
        </w:rPr>
      </w:pPr>
      <w:r>
        <w:rPr>
          <w:rFonts w:ascii="Arial" w:eastAsia="Calibri" w:hAnsi="Arial" w:cs="Arial"/>
          <w:b/>
          <w:sz w:val="20"/>
          <w:szCs w:val="20"/>
          <w:lang w:val="sr-Latn-BA"/>
        </w:rPr>
        <w:br w:type="page" w:clear="all"/>
      </w:r>
    </w:p>
    <w:p w14:paraId="73BC5B0F" w14:textId="15B095DC" w:rsidR="001F77DD" w:rsidRDefault="00D97F9C">
      <w:pPr>
        <w:numPr>
          <w:ilvl w:val="0"/>
          <w:numId w:val="23"/>
        </w:numPr>
        <w:spacing w:after="0" w:line="360" w:lineRule="auto"/>
        <w:contextualSpacing/>
        <w:outlineLvl w:val="0"/>
        <w:rPr>
          <w:rFonts w:ascii="Arial" w:eastAsia="Arial" w:hAnsi="Arial" w:cs="Arial"/>
          <w:b/>
          <w:lang w:val="sr-Latn-BA"/>
        </w:rPr>
      </w:pPr>
      <w:r>
        <w:rPr>
          <w:rFonts w:ascii="Arial" w:eastAsia="Arial" w:hAnsi="Arial" w:cs="Arial"/>
          <w:b/>
          <w:lang w:val="sr-Latn-BA"/>
        </w:rPr>
        <w:lastRenderedPageBreak/>
        <w:t>Akcioni plan 2027-2031.</w:t>
      </w:r>
    </w:p>
    <w:p w14:paraId="1BFE3A33" w14:textId="77777777" w:rsidR="001F77DD" w:rsidRDefault="001F77DD">
      <w:pPr>
        <w:spacing w:after="0" w:line="360" w:lineRule="auto"/>
        <w:jc w:val="both"/>
        <w:rPr>
          <w:rFonts w:ascii="Arial" w:eastAsia="Arial" w:hAnsi="Arial" w:cs="Arial"/>
          <w:sz w:val="20"/>
          <w:szCs w:val="20"/>
          <w:lang w:val="sr-Latn-BA"/>
        </w:rPr>
      </w:pPr>
    </w:p>
    <w:p w14:paraId="008D570D"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Akcioni plan predstavlja operativni instrument realizacije Strategije. Svaka mjera mora biti neposredno povezana sa jednim strateškim ciljem i sadržavati utvrđen pravni osnov, funkciju IDDEEA-e koja se mjerom razvija, nosioca aktivnosti, eventualnog partnerskog ili nadležnog organa, indikator, početnu i ciljnu vrijednost, rok, izvor verifikacije, procjenu rizika i finansijski okvir.</w:t>
      </w:r>
    </w:p>
    <w:p w14:paraId="0F67894B" w14:textId="49513489" w:rsidR="001F77DD" w:rsidRDefault="00D97F9C">
      <w:pPr>
        <w:spacing w:after="0" w:line="360" w:lineRule="auto"/>
        <w:jc w:val="both"/>
        <w:rPr>
          <w:rFonts w:ascii="Arial" w:eastAsia="Arial" w:hAnsi="Arial" w:cs="Arial"/>
          <w:sz w:val="20"/>
          <w:szCs w:val="20"/>
          <w:lang w:val="sr-Latn-BA"/>
        </w:rPr>
      </w:pPr>
      <w:r>
        <w:rPr>
          <w:rFonts w:ascii="Arial" w:eastAsia="Calibri" w:hAnsi="Arial" w:cs="Arial"/>
          <w:sz w:val="20"/>
          <w:szCs w:val="20"/>
          <w:lang w:val="sr-Latn-BA"/>
        </w:rPr>
        <w:t>Mjera za koju nije moguće utvrditi odgovarajući pravni osnov neće biti realizovana na osnovu same Strategije.</w:t>
      </w:r>
    </w:p>
    <w:p w14:paraId="066FFEA3" w14:textId="77777777" w:rsidR="001F77DD" w:rsidRDefault="001F77DD">
      <w:pPr>
        <w:spacing w:line="360" w:lineRule="auto"/>
        <w:ind w:left="360"/>
        <w:jc w:val="both"/>
        <w:rPr>
          <w:rFonts w:ascii="Arial" w:eastAsia="Arial" w:hAnsi="Arial" w:cs="Arial"/>
          <w:b/>
          <w:lang w:val="sr-Latn-BA"/>
        </w:rPr>
      </w:pPr>
    </w:p>
    <w:p w14:paraId="118870A9" w14:textId="6B994BCD" w:rsidR="001F77DD" w:rsidRDefault="001F77DD">
      <w:pPr>
        <w:spacing w:after="0"/>
        <w:jc w:val="center"/>
        <w:rPr>
          <w:rFonts w:ascii="Arial" w:eastAsia="Arial" w:hAnsi="Arial" w:cs="Arial"/>
          <w:b/>
          <w:sz w:val="18"/>
          <w:szCs w:val="18"/>
          <w:lang w:val="sr-Latn-BA"/>
        </w:rPr>
      </w:pPr>
    </w:p>
    <w:p w14:paraId="72FDDA60" w14:textId="75A224F8" w:rsidR="001F77DD" w:rsidRDefault="001F77DD">
      <w:pPr>
        <w:spacing w:after="0"/>
        <w:jc w:val="center"/>
        <w:rPr>
          <w:rFonts w:ascii="Arial" w:eastAsia="Arial" w:hAnsi="Arial" w:cs="Arial"/>
          <w:b/>
          <w:sz w:val="18"/>
          <w:szCs w:val="18"/>
          <w:lang w:val="sr-Latn-BA"/>
        </w:rPr>
      </w:pPr>
    </w:p>
    <w:p w14:paraId="68713EE5" w14:textId="325A0297" w:rsidR="001F77DD" w:rsidRDefault="001F77DD">
      <w:pPr>
        <w:spacing w:after="0"/>
        <w:jc w:val="center"/>
        <w:rPr>
          <w:rFonts w:ascii="Arial" w:eastAsia="Arial" w:hAnsi="Arial" w:cs="Arial"/>
          <w:b/>
          <w:sz w:val="18"/>
          <w:szCs w:val="18"/>
          <w:lang w:val="sr-Latn-BA"/>
        </w:rPr>
      </w:pPr>
    </w:p>
    <w:p w14:paraId="42221FDD" w14:textId="1DFF242A" w:rsidR="001F77DD" w:rsidRDefault="001F77DD">
      <w:pPr>
        <w:spacing w:after="0"/>
        <w:jc w:val="center"/>
        <w:rPr>
          <w:rFonts w:ascii="Arial" w:eastAsia="Arial" w:hAnsi="Arial" w:cs="Arial"/>
          <w:b/>
          <w:sz w:val="18"/>
          <w:szCs w:val="18"/>
          <w:lang w:val="sr-Latn-BA"/>
        </w:rPr>
      </w:pPr>
    </w:p>
    <w:p w14:paraId="601B19DA" w14:textId="6EFB5223" w:rsidR="001F77DD" w:rsidRDefault="001F77DD">
      <w:pPr>
        <w:spacing w:after="0"/>
        <w:jc w:val="center"/>
        <w:rPr>
          <w:rFonts w:ascii="Arial" w:eastAsia="Arial" w:hAnsi="Arial" w:cs="Arial"/>
          <w:b/>
          <w:sz w:val="18"/>
          <w:szCs w:val="18"/>
          <w:lang w:val="sr-Latn-BA"/>
        </w:rPr>
      </w:pPr>
    </w:p>
    <w:p w14:paraId="3A8AF9C8" w14:textId="76833149" w:rsidR="001F77DD" w:rsidRDefault="001F77DD">
      <w:pPr>
        <w:spacing w:after="0"/>
        <w:jc w:val="center"/>
        <w:rPr>
          <w:rFonts w:ascii="Arial" w:eastAsia="Arial" w:hAnsi="Arial" w:cs="Arial"/>
          <w:b/>
          <w:sz w:val="18"/>
          <w:szCs w:val="18"/>
          <w:lang w:val="sr-Latn-BA"/>
        </w:rPr>
      </w:pPr>
    </w:p>
    <w:p w14:paraId="2206B21C" w14:textId="4EEC07B5" w:rsidR="001F77DD" w:rsidRDefault="001F77DD">
      <w:pPr>
        <w:spacing w:after="0"/>
        <w:jc w:val="center"/>
        <w:rPr>
          <w:rFonts w:ascii="Arial" w:eastAsia="Arial" w:hAnsi="Arial" w:cs="Arial"/>
          <w:b/>
          <w:sz w:val="18"/>
          <w:szCs w:val="18"/>
          <w:lang w:val="sr-Latn-BA"/>
        </w:rPr>
      </w:pPr>
    </w:p>
    <w:p w14:paraId="4FF08B43" w14:textId="7B75583E" w:rsidR="001F77DD" w:rsidRDefault="001F77DD">
      <w:pPr>
        <w:spacing w:after="0"/>
        <w:jc w:val="center"/>
        <w:rPr>
          <w:rFonts w:ascii="Arial" w:eastAsia="Arial" w:hAnsi="Arial" w:cs="Arial"/>
          <w:b/>
          <w:sz w:val="18"/>
          <w:szCs w:val="18"/>
          <w:lang w:val="sr-Latn-BA"/>
        </w:rPr>
      </w:pPr>
    </w:p>
    <w:p w14:paraId="5FC73B9B" w14:textId="6556C7E1" w:rsidR="001F77DD" w:rsidRDefault="001F77DD">
      <w:pPr>
        <w:spacing w:after="0"/>
        <w:jc w:val="center"/>
        <w:rPr>
          <w:rFonts w:ascii="Arial" w:eastAsia="Arial" w:hAnsi="Arial" w:cs="Arial"/>
          <w:b/>
          <w:sz w:val="18"/>
          <w:szCs w:val="18"/>
          <w:lang w:val="sr-Latn-BA"/>
        </w:rPr>
      </w:pPr>
    </w:p>
    <w:p w14:paraId="4D3EF142" w14:textId="164ABA39" w:rsidR="001F77DD" w:rsidRDefault="001F77DD">
      <w:pPr>
        <w:spacing w:after="0"/>
        <w:jc w:val="center"/>
        <w:rPr>
          <w:rFonts w:ascii="Arial" w:eastAsia="Arial" w:hAnsi="Arial" w:cs="Arial"/>
          <w:b/>
          <w:sz w:val="18"/>
          <w:szCs w:val="18"/>
          <w:lang w:val="sr-Latn-BA"/>
        </w:rPr>
      </w:pPr>
    </w:p>
    <w:p w14:paraId="4BD6E35D" w14:textId="73DF39FB" w:rsidR="001F77DD" w:rsidRDefault="001F77DD">
      <w:pPr>
        <w:spacing w:after="0"/>
        <w:jc w:val="center"/>
        <w:rPr>
          <w:rFonts w:ascii="Arial" w:eastAsia="Arial" w:hAnsi="Arial" w:cs="Arial"/>
          <w:b/>
          <w:sz w:val="18"/>
          <w:szCs w:val="18"/>
          <w:lang w:val="sr-Latn-BA"/>
        </w:rPr>
      </w:pPr>
    </w:p>
    <w:p w14:paraId="55C048A5" w14:textId="363656E8" w:rsidR="001F77DD" w:rsidRDefault="001F77DD">
      <w:pPr>
        <w:spacing w:after="0"/>
        <w:jc w:val="center"/>
        <w:rPr>
          <w:rFonts w:ascii="Arial" w:eastAsia="Arial" w:hAnsi="Arial" w:cs="Arial"/>
          <w:b/>
          <w:sz w:val="18"/>
          <w:szCs w:val="18"/>
          <w:lang w:val="sr-Latn-BA"/>
        </w:rPr>
      </w:pPr>
    </w:p>
    <w:p w14:paraId="5DB0C078" w14:textId="5DFB948F" w:rsidR="001F77DD" w:rsidRDefault="001F77DD">
      <w:pPr>
        <w:spacing w:after="0"/>
        <w:jc w:val="center"/>
        <w:rPr>
          <w:rFonts w:ascii="Arial" w:eastAsia="Arial" w:hAnsi="Arial" w:cs="Arial"/>
          <w:b/>
          <w:sz w:val="18"/>
          <w:szCs w:val="18"/>
          <w:lang w:val="sr-Latn-BA"/>
        </w:rPr>
      </w:pPr>
    </w:p>
    <w:p w14:paraId="177F14C8" w14:textId="166C4F10" w:rsidR="001F77DD" w:rsidRDefault="001F77DD">
      <w:pPr>
        <w:spacing w:after="0"/>
        <w:jc w:val="center"/>
        <w:rPr>
          <w:rFonts w:ascii="Arial" w:eastAsia="Arial" w:hAnsi="Arial" w:cs="Arial"/>
          <w:b/>
          <w:sz w:val="18"/>
          <w:szCs w:val="18"/>
          <w:lang w:val="sr-Latn-BA"/>
        </w:rPr>
      </w:pPr>
    </w:p>
    <w:p w14:paraId="5421E3D1" w14:textId="7359D557" w:rsidR="001F77DD" w:rsidRDefault="001F77DD">
      <w:pPr>
        <w:spacing w:after="0"/>
        <w:jc w:val="center"/>
        <w:rPr>
          <w:rFonts w:ascii="Arial" w:eastAsia="Arial" w:hAnsi="Arial" w:cs="Arial"/>
          <w:b/>
          <w:sz w:val="18"/>
          <w:szCs w:val="18"/>
          <w:lang w:val="sr-Latn-BA"/>
        </w:rPr>
      </w:pPr>
    </w:p>
    <w:p w14:paraId="585A4F28" w14:textId="11CC1EDA" w:rsidR="001F77DD" w:rsidRDefault="001F77DD">
      <w:pPr>
        <w:spacing w:after="0"/>
        <w:jc w:val="center"/>
        <w:rPr>
          <w:rFonts w:ascii="Arial" w:eastAsia="Arial" w:hAnsi="Arial" w:cs="Arial"/>
          <w:b/>
          <w:sz w:val="18"/>
          <w:szCs w:val="18"/>
          <w:lang w:val="sr-Latn-BA"/>
        </w:rPr>
      </w:pPr>
    </w:p>
    <w:p w14:paraId="55467442" w14:textId="5A1378FB" w:rsidR="001F77DD" w:rsidRDefault="001F77DD">
      <w:pPr>
        <w:spacing w:after="0"/>
        <w:jc w:val="center"/>
        <w:rPr>
          <w:rFonts w:ascii="Arial" w:eastAsia="Arial" w:hAnsi="Arial" w:cs="Arial"/>
          <w:b/>
          <w:sz w:val="18"/>
          <w:szCs w:val="18"/>
          <w:lang w:val="sr-Latn-BA"/>
        </w:rPr>
      </w:pPr>
    </w:p>
    <w:p w14:paraId="3815231B" w14:textId="0458FA64" w:rsidR="001F77DD" w:rsidRDefault="001F77DD">
      <w:pPr>
        <w:spacing w:after="0"/>
        <w:jc w:val="center"/>
        <w:rPr>
          <w:rFonts w:ascii="Arial" w:eastAsia="Arial" w:hAnsi="Arial" w:cs="Arial"/>
          <w:b/>
          <w:sz w:val="18"/>
          <w:szCs w:val="18"/>
          <w:lang w:val="sr-Latn-BA"/>
        </w:rPr>
      </w:pPr>
    </w:p>
    <w:p w14:paraId="648A8540" w14:textId="5B381549" w:rsidR="001F77DD" w:rsidRDefault="001F77DD">
      <w:pPr>
        <w:spacing w:after="0"/>
        <w:jc w:val="center"/>
        <w:rPr>
          <w:rFonts w:ascii="Arial" w:eastAsia="Arial" w:hAnsi="Arial" w:cs="Arial"/>
          <w:b/>
          <w:sz w:val="18"/>
          <w:szCs w:val="18"/>
          <w:lang w:val="sr-Latn-BA"/>
        </w:rPr>
      </w:pPr>
    </w:p>
    <w:p w14:paraId="11956A63" w14:textId="422A9D35" w:rsidR="001F77DD" w:rsidRDefault="001F77DD">
      <w:pPr>
        <w:spacing w:after="0"/>
        <w:jc w:val="center"/>
        <w:rPr>
          <w:rFonts w:ascii="Arial" w:eastAsia="Arial" w:hAnsi="Arial" w:cs="Arial"/>
          <w:b/>
          <w:sz w:val="18"/>
          <w:szCs w:val="18"/>
          <w:lang w:val="sr-Latn-BA"/>
        </w:rPr>
      </w:pPr>
    </w:p>
    <w:p w14:paraId="77DDCB40" w14:textId="05E4C9F5" w:rsidR="001F77DD" w:rsidRDefault="001F77DD">
      <w:pPr>
        <w:spacing w:after="0"/>
        <w:jc w:val="center"/>
        <w:rPr>
          <w:rFonts w:ascii="Arial" w:eastAsia="Arial" w:hAnsi="Arial" w:cs="Arial"/>
          <w:b/>
          <w:sz w:val="18"/>
          <w:szCs w:val="18"/>
          <w:lang w:val="sr-Latn-BA"/>
        </w:rPr>
      </w:pPr>
    </w:p>
    <w:p w14:paraId="35247254" w14:textId="7863A57B" w:rsidR="001F77DD" w:rsidRDefault="001F77DD">
      <w:pPr>
        <w:spacing w:after="0"/>
        <w:jc w:val="center"/>
        <w:rPr>
          <w:rFonts w:ascii="Arial" w:eastAsia="Arial" w:hAnsi="Arial" w:cs="Arial"/>
          <w:b/>
          <w:sz w:val="18"/>
          <w:szCs w:val="18"/>
          <w:lang w:val="sr-Latn-BA"/>
        </w:rPr>
      </w:pPr>
    </w:p>
    <w:p w14:paraId="21D057E0" w14:textId="3B1ED8EF" w:rsidR="001F77DD" w:rsidRDefault="001F77DD">
      <w:pPr>
        <w:spacing w:after="0"/>
        <w:jc w:val="center"/>
        <w:rPr>
          <w:rFonts w:ascii="Arial" w:eastAsia="Arial" w:hAnsi="Arial" w:cs="Arial"/>
          <w:b/>
          <w:sz w:val="18"/>
          <w:szCs w:val="18"/>
          <w:lang w:val="sr-Latn-BA"/>
        </w:rPr>
      </w:pPr>
    </w:p>
    <w:p w14:paraId="29750DAF" w14:textId="1167A554" w:rsidR="001F77DD" w:rsidRDefault="001F77DD">
      <w:pPr>
        <w:spacing w:after="0"/>
        <w:jc w:val="center"/>
        <w:rPr>
          <w:rFonts w:ascii="Arial" w:eastAsia="Arial" w:hAnsi="Arial" w:cs="Arial"/>
          <w:b/>
          <w:sz w:val="18"/>
          <w:szCs w:val="18"/>
          <w:lang w:val="sr-Latn-BA"/>
        </w:rPr>
      </w:pPr>
    </w:p>
    <w:p w14:paraId="503E51B2" w14:textId="7D7BCE27" w:rsidR="001F77DD" w:rsidRDefault="001F77DD">
      <w:pPr>
        <w:spacing w:after="0"/>
        <w:jc w:val="center"/>
        <w:rPr>
          <w:rFonts w:ascii="Arial" w:eastAsia="Arial" w:hAnsi="Arial" w:cs="Arial"/>
          <w:b/>
          <w:sz w:val="18"/>
          <w:szCs w:val="18"/>
          <w:lang w:val="sr-Latn-BA"/>
        </w:rPr>
      </w:pPr>
    </w:p>
    <w:p w14:paraId="11A0ACE0" w14:textId="6B7EE835" w:rsidR="001F77DD" w:rsidRDefault="001F77DD">
      <w:pPr>
        <w:spacing w:after="0"/>
        <w:jc w:val="center"/>
        <w:rPr>
          <w:rFonts w:ascii="Arial" w:eastAsia="Arial" w:hAnsi="Arial" w:cs="Arial"/>
          <w:b/>
          <w:sz w:val="18"/>
          <w:szCs w:val="18"/>
          <w:lang w:val="sr-Latn-BA"/>
        </w:rPr>
      </w:pPr>
    </w:p>
    <w:p w14:paraId="7E9F23E0" w14:textId="05251B5F" w:rsidR="001F77DD" w:rsidRDefault="001F77DD">
      <w:pPr>
        <w:spacing w:after="0"/>
        <w:jc w:val="center"/>
        <w:rPr>
          <w:rFonts w:ascii="Arial" w:eastAsia="Arial" w:hAnsi="Arial" w:cs="Arial"/>
          <w:b/>
          <w:sz w:val="18"/>
          <w:szCs w:val="18"/>
          <w:lang w:val="sr-Latn-BA"/>
        </w:rPr>
      </w:pPr>
    </w:p>
    <w:p w14:paraId="7B97C8BA" w14:textId="1D5C4101" w:rsidR="001F77DD" w:rsidRDefault="001F77DD">
      <w:pPr>
        <w:spacing w:after="0"/>
        <w:jc w:val="center"/>
        <w:rPr>
          <w:rFonts w:ascii="Arial" w:eastAsia="Arial" w:hAnsi="Arial" w:cs="Arial"/>
          <w:b/>
          <w:sz w:val="18"/>
          <w:szCs w:val="18"/>
          <w:lang w:val="sr-Latn-BA"/>
        </w:rPr>
      </w:pPr>
    </w:p>
    <w:p w14:paraId="77368286" w14:textId="23FF5759" w:rsidR="001F77DD" w:rsidRDefault="001F77DD">
      <w:pPr>
        <w:spacing w:after="0"/>
        <w:jc w:val="center"/>
        <w:rPr>
          <w:rFonts w:ascii="Arial" w:eastAsia="Arial" w:hAnsi="Arial" w:cs="Arial"/>
          <w:b/>
          <w:sz w:val="18"/>
          <w:szCs w:val="18"/>
          <w:lang w:val="sr-Latn-BA"/>
        </w:rPr>
      </w:pPr>
    </w:p>
    <w:p w14:paraId="15C6C7CD" w14:textId="5715CCE8" w:rsidR="001F77DD" w:rsidRDefault="001F77DD">
      <w:pPr>
        <w:spacing w:after="0"/>
        <w:jc w:val="center"/>
        <w:rPr>
          <w:rFonts w:ascii="Arial" w:eastAsia="Arial" w:hAnsi="Arial" w:cs="Arial"/>
          <w:b/>
          <w:sz w:val="18"/>
          <w:szCs w:val="18"/>
          <w:lang w:val="sr-Latn-BA"/>
        </w:rPr>
      </w:pPr>
    </w:p>
    <w:p w14:paraId="7A62BFD0" w14:textId="4BC9CD63" w:rsidR="001F77DD" w:rsidRDefault="001F77DD">
      <w:pPr>
        <w:spacing w:after="0"/>
        <w:jc w:val="center"/>
        <w:rPr>
          <w:rFonts w:ascii="Arial" w:eastAsia="Arial" w:hAnsi="Arial" w:cs="Arial"/>
          <w:b/>
          <w:sz w:val="18"/>
          <w:szCs w:val="18"/>
          <w:lang w:val="sr-Latn-BA"/>
        </w:rPr>
      </w:pPr>
    </w:p>
    <w:p w14:paraId="17D93DB6" w14:textId="76DB4134" w:rsidR="001F77DD" w:rsidRDefault="001F77DD">
      <w:pPr>
        <w:spacing w:after="0"/>
        <w:jc w:val="center"/>
        <w:rPr>
          <w:rFonts w:ascii="Arial" w:eastAsia="Arial" w:hAnsi="Arial" w:cs="Arial"/>
          <w:b/>
          <w:sz w:val="18"/>
          <w:szCs w:val="18"/>
          <w:lang w:val="sr-Latn-BA"/>
        </w:rPr>
      </w:pPr>
    </w:p>
    <w:p w14:paraId="5461549C" w14:textId="4688D8D5" w:rsidR="001F77DD" w:rsidRDefault="001F77DD">
      <w:pPr>
        <w:spacing w:after="0"/>
        <w:jc w:val="center"/>
        <w:rPr>
          <w:rFonts w:ascii="Arial" w:eastAsia="Arial" w:hAnsi="Arial" w:cs="Arial"/>
          <w:b/>
          <w:sz w:val="18"/>
          <w:szCs w:val="18"/>
          <w:lang w:val="sr-Latn-BA"/>
        </w:rPr>
      </w:pPr>
    </w:p>
    <w:p w14:paraId="0AF3373A" w14:textId="230AA4FA" w:rsidR="001F77DD" w:rsidRDefault="001F77DD">
      <w:pPr>
        <w:spacing w:after="0"/>
        <w:jc w:val="center"/>
        <w:rPr>
          <w:rFonts w:ascii="Arial" w:eastAsia="Arial" w:hAnsi="Arial" w:cs="Arial"/>
          <w:b/>
          <w:sz w:val="18"/>
          <w:szCs w:val="18"/>
          <w:lang w:val="sr-Latn-BA"/>
        </w:rPr>
      </w:pPr>
    </w:p>
    <w:p w14:paraId="6A67C569" w14:textId="77777777" w:rsidR="001F77DD" w:rsidRDefault="001F77DD">
      <w:pPr>
        <w:spacing w:after="0"/>
        <w:jc w:val="center"/>
        <w:rPr>
          <w:rFonts w:ascii="Arial" w:eastAsia="Arial" w:hAnsi="Arial" w:cs="Arial"/>
          <w:b/>
          <w:sz w:val="18"/>
          <w:szCs w:val="18"/>
          <w:lang w:val="sr-Latn-BA"/>
        </w:rPr>
        <w:sectPr w:rsidR="001F77DD">
          <w:pgSz w:w="12240" w:h="15840"/>
          <w:pgMar w:top="1440" w:right="1440" w:bottom="1440" w:left="1440" w:header="709" w:footer="709" w:gutter="0"/>
          <w:cols w:space="708"/>
        </w:sectPr>
      </w:pPr>
    </w:p>
    <w:tbl>
      <w:tblPr>
        <w:tblStyle w:val="TableGrid"/>
        <w:tblW w:w="22870" w:type="dxa"/>
        <w:tblLayout w:type="fixed"/>
        <w:tblLook w:val="04A0" w:firstRow="1" w:lastRow="0" w:firstColumn="1" w:lastColumn="0" w:noHBand="0" w:noVBand="1"/>
      </w:tblPr>
      <w:tblGrid>
        <w:gridCol w:w="3269"/>
        <w:gridCol w:w="3694"/>
        <w:gridCol w:w="1591"/>
        <w:gridCol w:w="1819"/>
        <w:gridCol w:w="1421"/>
        <w:gridCol w:w="2160"/>
        <w:gridCol w:w="1080"/>
        <w:gridCol w:w="2104"/>
        <w:gridCol w:w="1194"/>
        <w:gridCol w:w="1535"/>
        <w:gridCol w:w="1478"/>
        <w:gridCol w:w="1525"/>
      </w:tblGrid>
      <w:tr w:rsidR="001F77DD" w14:paraId="0638509C" w14:textId="77777777">
        <w:tc>
          <w:tcPr>
            <w:tcW w:w="3269" w:type="dxa"/>
            <w:shd w:val="clear" w:color="auto" w:fill="D9D9D9" w:themeFill="background1" w:themeFillShade="D9"/>
            <w:vAlign w:val="center"/>
          </w:tcPr>
          <w:p w14:paraId="3EC5B22F" w14:textId="19610BA9" w:rsidR="001F77DD" w:rsidRDefault="00D97F9C">
            <w:pPr>
              <w:spacing w:after="60"/>
              <w:jc w:val="center"/>
              <w:rPr>
                <w:rFonts w:ascii="Times New Roman" w:eastAsia="Times New Roman" w:hAnsi="Times New Roman"/>
                <w:b/>
                <w:bCs/>
                <w:sz w:val="24"/>
                <w:szCs w:val="24"/>
              </w:rPr>
            </w:pPr>
            <w:r>
              <w:rPr>
                <w:rFonts w:ascii="Arial" w:hAnsi="Arial" w:cs="Arial"/>
                <w:bCs/>
                <w:iCs/>
                <w:sz w:val="18"/>
                <w:szCs w:val="18"/>
                <w:lang w:val="sr-Latn-BA"/>
              </w:rPr>
              <w:lastRenderedPageBreak/>
              <w:br w:type="page" w:clear="all"/>
            </w:r>
            <w:r>
              <w:rPr>
                <w:rFonts w:ascii="Times New Roman" w:eastAsia="Times New Roman" w:hAnsi="Times New Roman"/>
                <w:b/>
                <w:bCs/>
                <w:sz w:val="18"/>
                <w:szCs w:val="24"/>
              </w:rPr>
              <w:t>Mjera</w:t>
            </w:r>
          </w:p>
        </w:tc>
        <w:tc>
          <w:tcPr>
            <w:tcW w:w="3694" w:type="dxa"/>
            <w:shd w:val="clear" w:color="auto" w:fill="D9D9D9" w:themeFill="background1" w:themeFillShade="D9"/>
            <w:vAlign w:val="center"/>
          </w:tcPr>
          <w:p w14:paraId="41518506" w14:textId="77777777" w:rsidR="001F77DD" w:rsidRDefault="00D97F9C">
            <w:pPr>
              <w:spacing w:after="60"/>
              <w:jc w:val="center"/>
              <w:rPr>
                <w:rFonts w:ascii="Times New Roman" w:eastAsia="Times New Roman" w:hAnsi="Times New Roman"/>
                <w:b/>
                <w:bCs/>
                <w:sz w:val="24"/>
                <w:szCs w:val="24"/>
              </w:rPr>
            </w:pPr>
            <w:r>
              <w:rPr>
                <w:rFonts w:ascii="Times New Roman" w:eastAsia="Times New Roman" w:hAnsi="Times New Roman"/>
                <w:b/>
                <w:bCs/>
                <w:sz w:val="18"/>
                <w:szCs w:val="24"/>
              </w:rPr>
              <w:t>Aktivnost</w:t>
            </w:r>
          </w:p>
        </w:tc>
        <w:tc>
          <w:tcPr>
            <w:tcW w:w="1591" w:type="dxa"/>
            <w:shd w:val="clear" w:color="auto" w:fill="D9D9D9" w:themeFill="background1" w:themeFillShade="D9"/>
            <w:vAlign w:val="center"/>
          </w:tcPr>
          <w:p w14:paraId="6F6909C0" w14:textId="77777777" w:rsidR="001F77DD" w:rsidRDefault="00D97F9C">
            <w:pPr>
              <w:spacing w:after="60"/>
              <w:jc w:val="center"/>
              <w:rPr>
                <w:rFonts w:ascii="Times New Roman" w:eastAsia="Times New Roman" w:hAnsi="Times New Roman"/>
                <w:b/>
                <w:bCs/>
                <w:sz w:val="24"/>
                <w:szCs w:val="24"/>
              </w:rPr>
            </w:pPr>
            <w:r>
              <w:rPr>
                <w:rFonts w:ascii="Times New Roman" w:eastAsia="Times New Roman" w:hAnsi="Times New Roman"/>
                <w:b/>
                <w:bCs/>
                <w:sz w:val="18"/>
                <w:szCs w:val="24"/>
              </w:rPr>
              <w:t>Pravni osnov</w:t>
            </w:r>
          </w:p>
        </w:tc>
        <w:tc>
          <w:tcPr>
            <w:tcW w:w="1819" w:type="dxa"/>
            <w:shd w:val="clear" w:color="auto" w:fill="D9D9D9" w:themeFill="background1" w:themeFillShade="D9"/>
            <w:vAlign w:val="center"/>
          </w:tcPr>
          <w:p w14:paraId="2BA7EB09" w14:textId="77777777" w:rsidR="001F77DD" w:rsidRDefault="00D97F9C">
            <w:pPr>
              <w:spacing w:after="60"/>
              <w:jc w:val="center"/>
              <w:rPr>
                <w:rFonts w:ascii="Times New Roman" w:eastAsia="Times New Roman" w:hAnsi="Times New Roman"/>
                <w:b/>
                <w:bCs/>
                <w:sz w:val="24"/>
                <w:szCs w:val="24"/>
              </w:rPr>
            </w:pPr>
            <w:r>
              <w:rPr>
                <w:rFonts w:ascii="Times New Roman" w:eastAsia="Times New Roman" w:hAnsi="Times New Roman"/>
                <w:b/>
                <w:bCs/>
                <w:sz w:val="18"/>
                <w:szCs w:val="24"/>
              </w:rPr>
              <w:t>Funkcija IDDEEA-e</w:t>
            </w:r>
          </w:p>
        </w:tc>
        <w:tc>
          <w:tcPr>
            <w:tcW w:w="1421" w:type="dxa"/>
            <w:shd w:val="clear" w:color="auto" w:fill="D9D9D9" w:themeFill="background1" w:themeFillShade="D9"/>
            <w:vAlign w:val="center"/>
          </w:tcPr>
          <w:p w14:paraId="63F07B7A" w14:textId="77777777" w:rsidR="001F77DD" w:rsidRDefault="00D97F9C">
            <w:pPr>
              <w:spacing w:after="60"/>
              <w:jc w:val="center"/>
              <w:rPr>
                <w:rFonts w:ascii="Times New Roman" w:eastAsia="Times New Roman" w:hAnsi="Times New Roman"/>
                <w:b/>
                <w:bCs/>
                <w:sz w:val="24"/>
                <w:szCs w:val="24"/>
              </w:rPr>
            </w:pPr>
            <w:r>
              <w:rPr>
                <w:rFonts w:ascii="Times New Roman" w:eastAsia="Times New Roman" w:hAnsi="Times New Roman"/>
                <w:b/>
                <w:bCs/>
                <w:sz w:val="18"/>
                <w:szCs w:val="24"/>
              </w:rPr>
              <w:t>Partner</w:t>
            </w:r>
          </w:p>
        </w:tc>
        <w:tc>
          <w:tcPr>
            <w:tcW w:w="2160" w:type="dxa"/>
            <w:shd w:val="clear" w:color="auto" w:fill="D9D9D9" w:themeFill="background1" w:themeFillShade="D9"/>
            <w:vAlign w:val="center"/>
          </w:tcPr>
          <w:p w14:paraId="1BBDF4E7" w14:textId="77777777" w:rsidR="001F77DD" w:rsidRDefault="00D97F9C">
            <w:pPr>
              <w:spacing w:after="60"/>
              <w:jc w:val="center"/>
              <w:rPr>
                <w:rFonts w:ascii="Times New Roman" w:eastAsia="Times New Roman" w:hAnsi="Times New Roman"/>
                <w:b/>
                <w:bCs/>
                <w:sz w:val="24"/>
                <w:szCs w:val="24"/>
              </w:rPr>
            </w:pPr>
            <w:r>
              <w:rPr>
                <w:rFonts w:ascii="Times New Roman" w:eastAsia="Times New Roman" w:hAnsi="Times New Roman"/>
                <w:b/>
                <w:bCs/>
                <w:sz w:val="18"/>
                <w:szCs w:val="24"/>
              </w:rPr>
              <w:t>Indikator</w:t>
            </w:r>
          </w:p>
        </w:tc>
        <w:tc>
          <w:tcPr>
            <w:tcW w:w="1080" w:type="dxa"/>
            <w:shd w:val="clear" w:color="auto" w:fill="D9D9D9" w:themeFill="background1" w:themeFillShade="D9"/>
            <w:vAlign w:val="center"/>
          </w:tcPr>
          <w:p w14:paraId="616905E0" w14:textId="77777777" w:rsidR="001F77DD" w:rsidRDefault="00D97F9C">
            <w:pPr>
              <w:spacing w:after="60"/>
              <w:jc w:val="center"/>
              <w:rPr>
                <w:rFonts w:ascii="Times New Roman" w:eastAsia="Times New Roman" w:hAnsi="Times New Roman"/>
                <w:b/>
                <w:bCs/>
                <w:sz w:val="24"/>
                <w:szCs w:val="24"/>
              </w:rPr>
            </w:pPr>
            <w:r>
              <w:rPr>
                <w:rFonts w:ascii="Times New Roman" w:eastAsia="Times New Roman" w:hAnsi="Times New Roman"/>
                <w:b/>
                <w:bCs/>
                <w:sz w:val="18"/>
                <w:szCs w:val="24"/>
              </w:rPr>
              <w:t>Baseline 2027</w:t>
            </w:r>
          </w:p>
        </w:tc>
        <w:tc>
          <w:tcPr>
            <w:tcW w:w="2104" w:type="dxa"/>
            <w:shd w:val="clear" w:color="auto" w:fill="D9D9D9" w:themeFill="background1" w:themeFillShade="D9"/>
            <w:vAlign w:val="center"/>
          </w:tcPr>
          <w:p w14:paraId="151358EA" w14:textId="77777777" w:rsidR="001F77DD" w:rsidRDefault="00D97F9C">
            <w:pPr>
              <w:spacing w:after="60"/>
              <w:jc w:val="center"/>
              <w:rPr>
                <w:rFonts w:ascii="Times New Roman" w:eastAsia="Times New Roman" w:hAnsi="Times New Roman"/>
                <w:b/>
                <w:bCs/>
                <w:sz w:val="24"/>
                <w:szCs w:val="24"/>
              </w:rPr>
            </w:pPr>
            <w:r>
              <w:rPr>
                <w:rFonts w:ascii="Times New Roman" w:eastAsia="Times New Roman" w:hAnsi="Times New Roman"/>
                <w:b/>
                <w:bCs/>
                <w:sz w:val="18"/>
                <w:szCs w:val="24"/>
              </w:rPr>
              <w:t>Cilj 2031</w:t>
            </w:r>
          </w:p>
        </w:tc>
        <w:tc>
          <w:tcPr>
            <w:tcW w:w="1194" w:type="dxa"/>
            <w:shd w:val="clear" w:color="auto" w:fill="D9D9D9" w:themeFill="background1" w:themeFillShade="D9"/>
            <w:vAlign w:val="center"/>
          </w:tcPr>
          <w:p w14:paraId="2246CA1F" w14:textId="77777777" w:rsidR="001F77DD" w:rsidRDefault="00D97F9C">
            <w:pPr>
              <w:spacing w:after="60"/>
              <w:jc w:val="center"/>
              <w:rPr>
                <w:rFonts w:ascii="Times New Roman" w:eastAsia="Times New Roman" w:hAnsi="Times New Roman"/>
                <w:b/>
                <w:bCs/>
                <w:sz w:val="24"/>
                <w:szCs w:val="24"/>
              </w:rPr>
            </w:pPr>
            <w:r>
              <w:rPr>
                <w:rFonts w:ascii="Times New Roman" w:eastAsia="Times New Roman" w:hAnsi="Times New Roman"/>
                <w:b/>
                <w:bCs/>
                <w:sz w:val="18"/>
                <w:szCs w:val="24"/>
              </w:rPr>
              <w:t>Rok</w:t>
            </w:r>
          </w:p>
        </w:tc>
        <w:tc>
          <w:tcPr>
            <w:tcW w:w="1535" w:type="dxa"/>
            <w:shd w:val="clear" w:color="auto" w:fill="D9D9D9" w:themeFill="background1" w:themeFillShade="D9"/>
            <w:vAlign w:val="center"/>
          </w:tcPr>
          <w:p w14:paraId="10C4DB2F" w14:textId="77777777" w:rsidR="001F77DD" w:rsidRDefault="00D97F9C">
            <w:pPr>
              <w:spacing w:after="60"/>
              <w:jc w:val="center"/>
              <w:rPr>
                <w:rFonts w:ascii="Times New Roman" w:eastAsia="Times New Roman" w:hAnsi="Times New Roman"/>
                <w:b/>
                <w:bCs/>
                <w:sz w:val="24"/>
                <w:szCs w:val="24"/>
              </w:rPr>
            </w:pPr>
            <w:r>
              <w:rPr>
                <w:rFonts w:ascii="Times New Roman" w:eastAsia="Times New Roman" w:hAnsi="Times New Roman"/>
                <w:b/>
                <w:bCs/>
                <w:sz w:val="18"/>
                <w:szCs w:val="24"/>
              </w:rPr>
              <w:t>Izvor verifikacije</w:t>
            </w:r>
          </w:p>
        </w:tc>
        <w:tc>
          <w:tcPr>
            <w:tcW w:w="1478" w:type="dxa"/>
            <w:shd w:val="clear" w:color="auto" w:fill="D9D9D9" w:themeFill="background1" w:themeFillShade="D9"/>
            <w:vAlign w:val="center"/>
          </w:tcPr>
          <w:p w14:paraId="6B195E55" w14:textId="77777777" w:rsidR="001F77DD" w:rsidRDefault="00D97F9C">
            <w:pPr>
              <w:spacing w:after="60"/>
              <w:jc w:val="center"/>
              <w:rPr>
                <w:rFonts w:ascii="Times New Roman" w:eastAsia="Times New Roman" w:hAnsi="Times New Roman"/>
                <w:b/>
                <w:bCs/>
                <w:sz w:val="24"/>
                <w:szCs w:val="24"/>
              </w:rPr>
            </w:pPr>
            <w:r>
              <w:rPr>
                <w:rFonts w:ascii="Times New Roman" w:eastAsia="Times New Roman" w:hAnsi="Times New Roman"/>
                <w:b/>
                <w:bCs/>
                <w:sz w:val="18"/>
                <w:szCs w:val="24"/>
              </w:rPr>
              <w:t>Finansiranje</w:t>
            </w:r>
          </w:p>
        </w:tc>
        <w:tc>
          <w:tcPr>
            <w:tcW w:w="1525" w:type="dxa"/>
            <w:shd w:val="clear" w:color="auto" w:fill="D9D9D9" w:themeFill="background1" w:themeFillShade="D9"/>
            <w:vAlign w:val="center"/>
          </w:tcPr>
          <w:p w14:paraId="4744CEED" w14:textId="77777777" w:rsidR="001F77DD" w:rsidRDefault="00D97F9C">
            <w:pPr>
              <w:spacing w:after="60"/>
              <w:jc w:val="center"/>
              <w:rPr>
                <w:rFonts w:ascii="Times New Roman" w:eastAsia="Times New Roman" w:hAnsi="Times New Roman"/>
                <w:b/>
                <w:bCs/>
                <w:sz w:val="24"/>
                <w:szCs w:val="24"/>
              </w:rPr>
            </w:pPr>
            <w:r>
              <w:rPr>
                <w:rFonts w:ascii="Times New Roman" w:eastAsia="Times New Roman" w:hAnsi="Times New Roman"/>
                <w:b/>
                <w:bCs/>
                <w:sz w:val="18"/>
                <w:szCs w:val="24"/>
              </w:rPr>
              <w:t>Rizik</w:t>
            </w:r>
          </w:p>
        </w:tc>
      </w:tr>
      <w:tr w:rsidR="001F77DD" w14:paraId="3979190F" w14:textId="77777777">
        <w:tc>
          <w:tcPr>
            <w:tcW w:w="22870" w:type="dxa"/>
            <w:gridSpan w:val="12"/>
          </w:tcPr>
          <w:p w14:paraId="1C44D484" w14:textId="77777777" w:rsidR="001F77DD" w:rsidRDefault="00D97F9C">
            <w:pPr>
              <w:spacing w:after="60"/>
              <w:jc w:val="center"/>
              <w:rPr>
                <w:rFonts w:ascii="Times New Roman" w:eastAsia="Times New Roman" w:hAnsi="Times New Roman"/>
                <w:b/>
                <w:sz w:val="24"/>
                <w:szCs w:val="24"/>
              </w:rPr>
            </w:pPr>
            <w:r>
              <w:rPr>
                <w:rFonts w:ascii="Times New Roman" w:eastAsia="Times New Roman" w:hAnsi="Times New Roman"/>
                <w:b/>
                <w:bCs/>
                <w:sz w:val="18"/>
                <w:szCs w:val="24"/>
              </w:rPr>
              <w:t>SC1. Sigurni i međunarodno interoperabilni identifikacioni dokumenti i personalizacija</w:t>
            </w:r>
          </w:p>
        </w:tc>
      </w:tr>
      <w:tr w:rsidR="001F77DD" w14:paraId="75C32A9D" w14:textId="77777777">
        <w:tc>
          <w:tcPr>
            <w:tcW w:w="3269" w:type="dxa"/>
            <w:vAlign w:val="center"/>
          </w:tcPr>
          <w:p w14:paraId="7BA577FC"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t>1.1. Povećanje nivoa sigurnosti i međunarodne interoperabilnosti identifikacionih dokumenata</w:t>
            </w:r>
          </w:p>
        </w:tc>
        <w:tc>
          <w:tcPr>
            <w:tcW w:w="3694" w:type="dxa"/>
          </w:tcPr>
          <w:p w14:paraId="15F8FC5B"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Analiza postojećih identifikacionih dokumenata i usklađenosti sa ICAO, relevantnim EU standardima i propisima o zaštiti ličnih podataka; razvoj i uvođenje novih generacija dokumenata, zaštitnih elemenata i tehnologija; unapređenje procesa personalizacije i kontrole kvaliteta; osiguranje sljedivosti obrazaca od nastanka do uništavanja; razvoj i održavanje PKD/PKI komponenti; testiranje i verifikacija novih rješenja.</w:t>
            </w:r>
          </w:p>
        </w:tc>
        <w:tc>
          <w:tcPr>
            <w:tcW w:w="1591" w:type="dxa"/>
          </w:tcPr>
          <w:p w14:paraId="0BF5E1A4"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18"/>
              </w:rPr>
              <w:t xml:space="preserve">Zakon o Agenciji, član 8. stav (1) tač. a) i b); stav (2), odgovarajuće tačke prema vrsti dokumenta; st. (6) i (7), prema sadržaju aktivnosti; </w:t>
            </w:r>
            <w:r>
              <w:rPr>
                <w:rFonts w:ascii="Times New Roman" w:eastAsia="Times New Roman" w:hAnsi="Times New Roman"/>
                <w:sz w:val="18"/>
                <w:szCs w:val="24"/>
              </w:rPr>
              <w:t>ICAO standardi i specifikacije;  propisi o zaštiti ličnih podataka; relevantni EU tehnički standardi</w:t>
            </w:r>
          </w:p>
        </w:tc>
        <w:tc>
          <w:tcPr>
            <w:tcW w:w="1819" w:type="dxa"/>
          </w:tcPr>
          <w:p w14:paraId="72DDF4FE"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Izrada, personalizacija, kontrola kvaliteta, skladištenje i transport identifikacionih dokumenata u okviru zakonskih nadležnosti</w:t>
            </w:r>
          </w:p>
        </w:tc>
        <w:tc>
          <w:tcPr>
            <w:tcW w:w="1421" w:type="dxa"/>
          </w:tcPr>
          <w:p w14:paraId="480C98C1"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Nadležni organi; međunarodne organizacije; dobavljači sigurnosnih komponenti i tehnologija</w:t>
            </w:r>
          </w:p>
        </w:tc>
        <w:tc>
          <w:tcPr>
            <w:tcW w:w="2160" w:type="dxa"/>
          </w:tcPr>
          <w:p w14:paraId="264CEDEB"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 analiziranih dokumenata; % usklađenosti sa relevantnim standardima; broj novih zaštitnih elemenata; % uspješno personalizovanih dokumenata; broj identificiranih i otklonjenih nedostataka; % sljedivosti</w:t>
            </w:r>
          </w:p>
        </w:tc>
        <w:tc>
          <w:tcPr>
            <w:tcW w:w="1080" w:type="dxa"/>
          </w:tcPr>
          <w:p w14:paraId="705026FC"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početnim mjerenjem u 2027.</w:t>
            </w:r>
          </w:p>
        </w:tc>
        <w:tc>
          <w:tcPr>
            <w:tcW w:w="2104" w:type="dxa"/>
          </w:tcPr>
          <w:p w14:paraId="4DF490D9"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100% ključnih dokumenata obuhvaćeno analizom; kontinuirano unapređenje sigurnosnih elemenata i procesa; 100% sljedivost procesa</w:t>
            </w:r>
          </w:p>
        </w:tc>
        <w:tc>
          <w:tcPr>
            <w:tcW w:w="1194" w:type="dxa"/>
          </w:tcPr>
          <w:p w14:paraId="3A65C60D"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tokom 2027–2031.</w:t>
            </w:r>
          </w:p>
        </w:tc>
        <w:tc>
          <w:tcPr>
            <w:tcW w:w="1535" w:type="dxa"/>
          </w:tcPr>
          <w:p w14:paraId="6D6BA5CE"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Analize, tehnička dokumentacija, izvještaji o kontroli kvaliteta, audit izvještaji, sistemski zapisi</w:t>
            </w:r>
          </w:p>
        </w:tc>
        <w:tc>
          <w:tcPr>
            <w:tcW w:w="1478" w:type="dxa"/>
          </w:tcPr>
          <w:p w14:paraId="55C4BBCE"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Prema godišnjim planovima i budžetu</w:t>
            </w:r>
          </w:p>
        </w:tc>
        <w:tc>
          <w:tcPr>
            <w:tcW w:w="1525" w:type="dxa"/>
          </w:tcPr>
          <w:p w14:paraId="7765C44B"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Tehnološko zastarijevanje; falsifikovanje; prekid lanca snabdijevanja; promjene standarda</w:t>
            </w:r>
          </w:p>
        </w:tc>
      </w:tr>
      <w:tr w:rsidR="001F77DD" w14:paraId="5B46C4E4" w14:textId="77777777">
        <w:tc>
          <w:tcPr>
            <w:tcW w:w="3269" w:type="dxa"/>
            <w:vAlign w:val="center"/>
          </w:tcPr>
          <w:p w14:paraId="2994EEF1"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t>1.2. Kontinuitet personalizacije i proizvodnje identifikacionih dokumenata</w:t>
            </w:r>
          </w:p>
        </w:tc>
        <w:tc>
          <w:tcPr>
            <w:tcW w:w="3694" w:type="dxa"/>
          </w:tcPr>
          <w:p w14:paraId="519F576F"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Obezbjeđenje uslova za neprekidnost poslovanja u procesima personalizacije dokumenata; disaster recovery i backup proizvodnih sistema; definisanje minimalnih zaliha dokumenata i repromaterijala; kontinuirano održavanje opreme; pravovremena nabavka repromaterijala i obnova opreme; usklađivanje sa novim generacijama dokumenata.</w:t>
            </w:r>
          </w:p>
        </w:tc>
        <w:tc>
          <w:tcPr>
            <w:tcW w:w="1591" w:type="dxa"/>
          </w:tcPr>
          <w:p w14:paraId="68EA2CE4"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18"/>
              </w:rPr>
              <w:t xml:space="preserve">Zakon o Agenciji, član 3. stav (1); član 8. stav (1) tačka b) i stav (2); član 5. stav (4), u dijelu standarda funkcioniranja Centra; </w:t>
            </w:r>
            <w:r>
              <w:rPr>
                <w:rFonts w:ascii="Times New Roman" w:eastAsia="Times New Roman" w:hAnsi="Times New Roman"/>
                <w:sz w:val="18"/>
                <w:szCs w:val="24"/>
              </w:rPr>
              <w:t>ISO/IEC 27001; ISO 22301; interni pravilnici i procedure</w:t>
            </w:r>
          </w:p>
        </w:tc>
        <w:tc>
          <w:tcPr>
            <w:tcW w:w="1819" w:type="dxa"/>
          </w:tcPr>
          <w:p w14:paraId="7AC9126C"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Obezbjeđenje kontinuiteta procesa personalizacije i proizvodnje dokumenata</w:t>
            </w:r>
          </w:p>
        </w:tc>
        <w:tc>
          <w:tcPr>
            <w:tcW w:w="1421" w:type="dxa"/>
          </w:tcPr>
          <w:p w14:paraId="0ED4B325"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RC Sarajevo; dobavljači opreme i materijala</w:t>
            </w:r>
          </w:p>
        </w:tc>
        <w:tc>
          <w:tcPr>
            <w:tcW w:w="2160" w:type="dxa"/>
          </w:tcPr>
          <w:p w14:paraId="10E95A4D"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Vrijeme oporavka; dostupnost sistema; broj prekida proizvodnje; nivo minimalnih zaliha; % uspješnih testova DR sistema</w:t>
            </w:r>
          </w:p>
        </w:tc>
        <w:tc>
          <w:tcPr>
            <w:tcW w:w="1080" w:type="dxa"/>
          </w:tcPr>
          <w:p w14:paraId="6339F6DD"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početnim mjerenjem u 2027. godini</w:t>
            </w:r>
          </w:p>
        </w:tc>
        <w:tc>
          <w:tcPr>
            <w:tcW w:w="2104" w:type="dxa"/>
          </w:tcPr>
          <w:p w14:paraId="41C073A5"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Kritični procesi dostupni u skladu sa definisanim RTO/RPO; 100% kritične opreme i zaliha obuhvaćeno planom kontinuiteta</w:t>
            </w:r>
          </w:p>
        </w:tc>
        <w:tc>
          <w:tcPr>
            <w:tcW w:w="1194" w:type="dxa"/>
          </w:tcPr>
          <w:p w14:paraId="0F216859"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tokom 2027–2031.</w:t>
            </w:r>
          </w:p>
        </w:tc>
        <w:tc>
          <w:tcPr>
            <w:tcW w:w="1535" w:type="dxa"/>
          </w:tcPr>
          <w:p w14:paraId="0FACC4EC"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DR testovi; inventurne evidencije; sistemski logovi; izvještaji o održavanju</w:t>
            </w:r>
          </w:p>
        </w:tc>
        <w:tc>
          <w:tcPr>
            <w:tcW w:w="1478" w:type="dxa"/>
          </w:tcPr>
          <w:p w14:paraId="720B5A1D"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24"/>
              </w:rPr>
              <w:t xml:space="preserve">2027: 699.000 KM; </w:t>
            </w:r>
          </w:p>
          <w:p w14:paraId="27B9775B"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24"/>
              </w:rPr>
              <w:t xml:space="preserve">2028: </w:t>
            </w:r>
          </w:p>
          <w:p w14:paraId="34CCED1E"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24"/>
              </w:rPr>
              <w:t xml:space="preserve">360.000 KM; 2029: 292.000 KM; 2030: 199.500 KM; 2031: </w:t>
            </w:r>
          </w:p>
          <w:p w14:paraId="3CF28E2D"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24"/>
              </w:rPr>
              <w:t xml:space="preserve">100.000 KM; - </w:t>
            </w:r>
          </w:p>
          <w:p w14:paraId="2EEA4B4D"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24"/>
              </w:rPr>
              <w:t>budžet</w:t>
            </w:r>
          </w:p>
          <w:p w14:paraId="73BF80D4" w14:textId="77777777" w:rsidR="001F77DD" w:rsidRDefault="001F77DD">
            <w:pPr>
              <w:spacing w:after="60"/>
              <w:rPr>
                <w:rFonts w:ascii="Times New Roman" w:eastAsia="Times New Roman" w:hAnsi="Times New Roman"/>
                <w:sz w:val="24"/>
                <w:szCs w:val="24"/>
              </w:rPr>
            </w:pPr>
          </w:p>
        </w:tc>
        <w:tc>
          <w:tcPr>
            <w:tcW w:w="1525" w:type="dxa"/>
          </w:tcPr>
          <w:p w14:paraId="388CF635"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Kvar opreme; nedostatak repromaterijala; prirodne katastrofe; cyber incidenti</w:t>
            </w:r>
          </w:p>
        </w:tc>
      </w:tr>
      <w:tr w:rsidR="001F77DD" w14:paraId="44FC4268" w14:textId="77777777">
        <w:tc>
          <w:tcPr>
            <w:tcW w:w="22870" w:type="dxa"/>
            <w:gridSpan w:val="12"/>
            <w:vAlign w:val="center"/>
          </w:tcPr>
          <w:p w14:paraId="0A280E1A" w14:textId="77777777" w:rsidR="001F77DD" w:rsidRDefault="00D97F9C">
            <w:pPr>
              <w:spacing w:after="60"/>
              <w:jc w:val="center"/>
              <w:rPr>
                <w:rFonts w:ascii="Times New Roman" w:eastAsia="Times New Roman" w:hAnsi="Times New Roman"/>
                <w:b/>
                <w:sz w:val="18"/>
                <w:szCs w:val="24"/>
              </w:rPr>
            </w:pPr>
            <w:r>
              <w:rPr>
                <w:rFonts w:ascii="Times New Roman" w:eastAsia="Times New Roman" w:hAnsi="Times New Roman"/>
                <w:b/>
                <w:bCs/>
                <w:sz w:val="18"/>
                <w:szCs w:val="24"/>
              </w:rPr>
              <w:t>SC2. Pouzdane centralne evidencije i kvalitet podataka</w:t>
            </w:r>
          </w:p>
        </w:tc>
      </w:tr>
      <w:tr w:rsidR="001F77DD" w14:paraId="1C8C78FC" w14:textId="77777777">
        <w:tc>
          <w:tcPr>
            <w:tcW w:w="3269" w:type="dxa"/>
            <w:vAlign w:val="center"/>
          </w:tcPr>
          <w:p w14:paraId="6411EB18"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t>2.1. Jačanje kapaciteta infrastrukture vezane za centralne evidencije</w:t>
            </w:r>
          </w:p>
        </w:tc>
        <w:tc>
          <w:tcPr>
            <w:tcW w:w="3694" w:type="dxa"/>
          </w:tcPr>
          <w:p w14:paraId="1E74ECFC"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Procjena postojećeg stanja infrastrukture i potreba; razvoj plana nadogradnje; unapređenje hardverskih i softverskih kapaciteta; implementacija i integracija novih sistema; optimizacija pohrane i obrade podataka; obuka zaposlenih i testiranje sistema.</w:t>
            </w:r>
          </w:p>
        </w:tc>
        <w:tc>
          <w:tcPr>
            <w:tcW w:w="1591" w:type="dxa"/>
          </w:tcPr>
          <w:p w14:paraId="06B43D4B"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18"/>
              </w:rPr>
              <w:t>Zakon o Agenciji, član 8. stav (1) tač. c), d), e) i g); st. (3) i (4); član 20. stav (1), prema obuhvaćenim evidencijama;</w:t>
            </w:r>
            <w:r>
              <w:rPr>
                <w:rFonts w:ascii="Times New Roman" w:eastAsia="Times New Roman" w:hAnsi="Times New Roman"/>
                <w:sz w:val="18"/>
                <w:szCs w:val="24"/>
              </w:rPr>
              <w:t xml:space="preserve"> propisi o zaštiti ličnih podataka; ISO/IEC 27001; ISO 22301</w:t>
            </w:r>
          </w:p>
        </w:tc>
        <w:tc>
          <w:tcPr>
            <w:tcW w:w="1819" w:type="dxa"/>
          </w:tcPr>
          <w:p w14:paraId="4BA00D22"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Tehničko održavanje i razvoj centralnih evidencija iz djelokruga Agencije</w:t>
            </w:r>
          </w:p>
        </w:tc>
        <w:tc>
          <w:tcPr>
            <w:tcW w:w="1421" w:type="dxa"/>
          </w:tcPr>
          <w:p w14:paraId="5624B59B"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Nadležni organi; drugi OOJ</w:t>
            </w:r>
          </w:p>
        </w:tc>
        <w:tc>
          <w:tcPr>
            <w:tcW w:w="2160" w:type="dxa"/>
          </w:tcPr>
          <w:p w14:paraId="5957D67F"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Kapacitet pohrane; brzina obrade; dostupnost sistema; broj incidenata; vrijeme pristupa podacima; vrijeme obnove sistema</w:t>
            </w:r>
          </w:p>
        </w:tc>
        <w:tc>
          <w:tcPr>
            <w:tcW w:w="1080" w:type="dxa"/>
          </w:tcPr>
          <w:p w14:paraId="19CCA22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početnim mjerenjem u 2027. godini</w:t>
            </w:r>
          </w:p>
        </w:tc>
        <w:tc>
          <w:tcPr>
            <w:tcW w:w="2104" w:type="dxa"/>
          </w:tcPr>
          <w:p w14:paraId="5A7567BE"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≥99,9% dostupnost kritičnih sistema; povećanje kapaciteta i performansi u odnosu na baseline</w:t>
            </w:r>
          </w:p>
        </w:tc>
        <w:tc>
          <w:tcPr>
            <w:tcW w:w="1194" w:type="dxa"/>
          </w:tcPr>
          <w:p w14:paraId="6519B8FD"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tokom 2027–2031.</w:t>
            </w:r>
          </w:p>
        </w:tc>
        <w:tc>
          <w:tcPr>
            <w:tcW w:w="1535" w:type="dxa"/>
          </w:tcPr>
          <w:p w14:paraId="26DAC15D"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Monitoring sistemi; sistemski logovi; izvještaji o performansama; audit izvještaji</w:t>
            </w:r>
          </w:p>
        </w:tc>
        <w:tc>
          <w:tcPr>
            <w:tcW w:w="1478" w:type="dxa"/>
          </w:tcPr>
          <w:p w14:paraId="3138E580"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24"/>
              </w:rPr>
              <w:t xml:space="preserve">2027: 420.000 KM; </w:t>
            </w:r>
          </w:p>
          <w:p w14:paraId="6F34AEFB"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24"/>
              </w:rPr>
              <w:t xml:space="preserve">2028: 700.000 KM; </w:t>
            </w:r>
          </w:p>
          <w:p w14:paraId="6FD733A4"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24"/>
              </w:rPr>
              <w:t xml:space="preserve">2029: 895.000 KM; 2030: 3.250.000 KM; </w:t>
            </w:r>
          </w:p>
          <w:p w14:paraId="736A0E1D"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2031: 750.000 KM – budžet</w:t>
            </w:r>
          </w:p>
        </w:tc>
        <w:tc>
          <w:tcPr>
            <w:tcW w:w="1525" w:type="dxa"/>
          </w:tcPr>
          <w:p w14:paraId="6EC93BBC"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Kvar; gubitak podataka; cyber napad; nedostatak kapaciteta</w:t>
            </w:r>
          </w:p>
        </w:tc>
      </w:tr>
      <w:tr w:rsidR="001F77DD" w14:paraId="540A0FEC" w14:textId="77777777">
        <w:tc>
          <w:tcPr>
            <w:tcW w:w="3269" w:type="dxa"/>
            <w:vAlign w:val="center"/>
          </w:tcPr>
          <w:p w14:paraId="24DE09D6"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t>2.2. Unapređenje kvaliteta i integriteta podataka u centralnim evidencijama</w:t>
            </w:r>
          </w:p>
        </w:tc>
        <w:tc>
          <w:tcPr>
            <w:tcW w:w="3694" w:type="dxa"/>
          </w:tcPr>
          <w:p w14:paraId="752C188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Kontinuirana kontrola kvaliteta podataka, identifikacija i otklanjanje grešaka, standardizacija procedura, monitoring integriteta i unapređenje procesa razmjene i ažuriranja podataka.</w:t>
            </w:r>
          </w:p>
        </w:tc>
        <w:tc>
          <w:tcPr>
            <w:tcW w:w="1591" w:type="dxa"/>
          </w:tcPr>
          <w:p w14:paraId="37B5DF51"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18"/>
              </w:rPr>
              <w:t>Zakon o Agenciji, član 8. stav (1) tač. d), e) i g), st. (4) i (5); član 20. stav (2); član 21. tač. b), c), d) i f); Zakon o zaštiti ličnih podataka („Službeni glasnik BiH“, broj 12/25), član 7. stav (1) tač. d) i f);</w:t>
            </w:r>
            <w:r>
              <w:rPr>
                <w:rFonts w:ascii="Times New Roman" w:eastAsia="Times New Roman" w:hAnsi="Times New Roman"/>
                <w:sz w:val="18"/>
                <w:szCs w:val="24"/>
              </w:rPr>
              <w:t xml:space="preserve"> interni akti</w:t>
            </w:r>
          </w:p>
        </w:tc>
        <w:tc>
          <w:tcPr>
            <w:tcW w:w="1819" w:type="dxa"/>
          </w:tcPr>
          <w:p w14:paraId="5744EC08"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Održavanje tehničkih uslova za integritet i raspoloživost evidencija</w:t>
            </w:r>
          </w:p>
        </w:tc>
        <w:tc>
          <w:tcPr>
            <w:tcW w:w="1421" w:type="dxa"/>
          </w:tcPr>
          <w:p w14:paraId="0A1FE54C"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Nadležni organi</w:t>
            </w:r>
          </w:p>
        </w:tc>
        <w:tc>
          <w:tcPr>
            <w:tcW w:w="2160" w:type="dxa"/>
          </w:tcPr>
          <w:p w14:paraId="04AC47CA"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 podataka obuhvaćenih kontrolama; broj identificiranih grešaka; % otklonjenih grešaka; broj incidenata integriteta</w:t>
            </w:r>
          </w:p>
        </w:tc>
        <w:tc>
          <w:tcPr>
            <w:tcW w:w="1080" w:type="dxa"/>
          </w:tcPr>
          <w:p w14:paraId="604AC62E"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početnim mjerenjem u 2027. godini</w:t>
            </w:r>
          </w:p>
        </w:tc>
        <w:tc>
          <w:tcPr>
            <w:tcW w:w="2104" w:type="dxa"/>
          </w:tcPr>
          <w:p w14:paraId="2FA1BC96"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≥95% identificiranih grešaka otklonjeno u definisanom roku</w:t>
            </w:r>
          </w:p>
        </w:tc>
        <w:tc>
          <w:tcPr>
            <w:tcW w:w="1194" w:type="dxa"/>
          </w:tcPr>
          <w:p w14:paraId="6ACC933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tokom 2027–2031.</w:t>
            </w:r>
          </w:p>
        </w:tc>
        <w:tc>
          <w:tcPr>
            <w:tcW w:w="1535" w:type="dxa"/>
          </w:tcPr>
          <w:p w14:paraId="4538A52F"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Izvještaji kontrole kvaliteta; sistemski logovi; audit izvještaji</w:t>
            </w:r>
          </w:p>
        </w:tc>
        <w:tc>
          <w:tcPr>
            <w:tcW w:w="1478" w:type="dxa"/>
          </w:tcPr>
          <w:p w14:paraId="2925CDD3"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 okviru redovnog budžeta</w:t>
            </w:r>
          </w:p>
        </w:tc>
        <w:tc>
          <w:tcPr>
            <w:tcW w:w="1525" w:type="dxa"/>
          </w:tcPr>
          <w:p w14:paraId="2A55D1A6"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Nekvalitetni ulazni podaci; neusklađene procedure</w:t>
            </w:r>
          </w:p>
        </w:tc>
      </w:tr>
      <w:tr w:rsidR="001F77DD" w14:paraId="2111A94D" w14:textId="77777777">
        <w:tc>
          <w:tcPr>
            <w:tcW w:w="22870" w:type="dxa"/>
            <w:gridSpan w:val="12"/>
            <w:vAlign w:val="center"/>
          </w:tcPr>
          <w:p w14:paraId="16B56346" w14:textId="77777777" w:rsidR="001F77DD" w:rsidRDefault="00D97F9C">
            <w:pPr>
              <w:spacing w:after="60"/>
              <w:jc w:val="center"/>
              <w:rPr>
                <w:rFonts w:ascii="Times New Roman" w:eastAsia="Times New Roman" w:hAnsi="Times New Roman"/>
                <w:b/>
                <w:sz w:val="18"/>
                <w:szCs w:val="24"/>
              </w:rPr>
            </w:pPr>
            <w:r>
              <w:rPr>
                <w:rFonts w:ascii="Times New Roman" w:eastAsia="Times New Roman" w:hAnsi="Times New Roman"/>
                <w:b/>
                <w:bCs/>
                <w:sz w:val="18"/>
                <w:szCs w:val="24"/>
              </w:rPr>
              <w:t>SC3. Sigurna razmjena podataka i mrežna infrastruktura</w:t>
            </w:r>
          </w:p>
        </w:tc>
      </w:tr>
      <w:tr w:rsidR="001F77DD" w14:paraId="3D98BD46" w14:textId="77777777">
        <w:tc>
          <w:tcPr>
            <w:tcW w:w="3269" w:type="dxa"/>
            <w:vAlign w:val="center"/>
          </w:tcPr>
          <w:p w14:paraId="02629CBF"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t>3.1. Razvoj eDataXChange platforme za digitalnu razmjenu podataka</w:t>
            </w:r>
          </w:p>
        </w:tc>
        <w:tc>
          <w:tcPr>
            <w:tcW w:w="3694" w:type="dxa"/>
          </w:tcPr>
          <w:p w14:paraId="1C23FB6B"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Razvoj eDataXChange platforme kao tehničke komponente Sistema IDDEEA za sigurnu, kontrolisanu, standardizovanu i evidentiranu razmjenu podataka između subjekata koji imaju odgovarajući pravni osnov za pristup podacima. Platforma će podržavati standardizovane API-je, autentifikaciju i autorizaciju, enkripciju, upravljanje pristupnim pravima, evidenciju transakcija, monitoring raspoloživosti i integriteta i druge sigurnosne funkcije. Tehnička mogućnost povezivanja na platformu sama po sebi ne predstavlja pravo pristupa podacima.</w:t>
            </w:r>
          </w:p>
        </w:tc>
        <w:tc>
          <w:tcPr>
            <w:tcW w:w="1591" w:type="dxa"/>
          </w:tcPr>
          <w:p w14:paraId="2B70FBE9"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18"/>
              </w:rPr>
              <w:t xml:space="preserve">Zakon o Agenciji, član 8. stav (1) tač. d), e), f), g), i) i j); član 9. st. (1) i (2), te stav (3), posebno tač. a)–d), f) i g). Uputstvo 31/25, član 2. tač. a) i j); član 3. st. (1)–(5); član 6. st. (1)–(5); </w:t>
            </w:r>
            <w:r>
              <w:rPr>
                <w:rFonts w:ascii="Times New Roman" w:eastAsia="Times New Roman" w:hAnsi="Times New Roman"/>
                <w:sz w:val="18"/>
                <w:szCs w:val="24"/>
              </w:rPr>
              <w:t xml:space="preserve">relevantni propisi o zaštiti ličnih podataka i </w:t>
            </w:r>
            <w:r>
              <w:rPr>
                <w:rFonts w:ascii="Times New Roman" w:eastAsia="Times New Roman" w:hAnsi="Times New Roman"/>
                <w:sz w:val="18"/>
                <w:szCs w:val="24"/>
              </w:rPr>
              <w:lastRenderedPageBreak/>
              <w:t>informacionoj sigurnosti; Uputstvo 31/25</w:t>
            </w:r>
          </w:p>
        </w:tc>
        <w:tc>
          <w:tcPr>
            <w:tcW w:w="1819" w:type="dxa"/>
          </w:tcPr>
          <w:p w14:paraId="287CE16D"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lastRenderedPageBreak/>
              <w:t>Razvoj i održavanje tehničke infrastrukture za sigurnu razmjenu podataka</w:t>
            </w:r>
          </w:p>
        </w:tc>
        <w:tc>
          <w:tcPr>
            <w:tcW w:w="1421" w:type="dxa"/>
          </w:tcPr>
          <w:p w14:paraId="59E0ECE3"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Nadležni organi i drugi subjekti sa odgovarajućim pravnim osnovom</w:t>
            </w:r>
          </w:p>
        </w:tc>
        <w:tc>
          <w:tcPr>
            <w:tcW w:w="2160" w:type="dxa"/>
          </w:tcPr>
          <w:p w14:paraId="24EC9596"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Broj integrisanih sistema; broj transakcija; % uspješnih transakcija; vrijeme razmjene; broj sigurnosnih incidenata</w:t>
            </w:r>
          </w:p>
        </w:tc>
        <w:tc>
          <w:tcPr>
            <w:tcW w:w="1080" w:type="dxa"/>
          </w:tcPr>
          <w:p w14:paraId="23335C28"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početnim mjerenjem u 2027. godini</w:t>
            </w:r>
          </w:p>
        </w:tc>
        <w:tc>
          <w:tcPr>
            <w:tcW w:w="2104" w:type="dxa"/>
          </w:tcPr>
          <w:p w14:paraId="04633B02"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≥99,9% dostupnost; kontinuirano povećanje broja sigurnih i evidentiranih transakcija</w:t>
            </w:r>
          </w:p>
        </w:tc>
        <w:tc>
          <w:tcPr>
            <w:tcW w:w="1194" w:type="dxa"/>
          </w:tcPr>
          <w:p w14:paraId="6DDB7259"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tokom 2027–2031.</w:t>
            </w:r>
          </w:p>
        </w:tc>
        <w:tc>
          <w:tcPr>
            <w:tcW w:w="1535" w:type="dxa"/>
          </w:tcPr>
          <w:p w14:paraId="16BEAA22"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API logovi; monitoring; sigurnosni izvještaji; ugovori i sporazumi</w:t>
            </w:r>
          </w:p>
        </w:tc>
        <w:tc>
          <w:tcPr>
            <w:tcW w:w="1478" w:type="dxa"/>
          </w:tcPr>
          <w:p w14:paraId="2B91A01D"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24"/>
              </w:rPr>
              <w:t xml:space="preserve">2027: </w:t>
            </w:r>
          </w:p>
          <w:p w14:paraId="0A4655A0"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24"/>
              </w:rPr>
              <w:t xml:space="preserve">35.000 KM; 2028: </w:t>
            </w:r>
          </w:p>
          <w:p w14:paraId="48729F9E"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24"/>
              </w:rPr>
              <w:t xml:space="preserve">35.000 KM; 2029: </w:t>
            </w:r>
          </w:p>
          <w:p w14:paraId="34325721"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35.000 KM; 2030: 100.000 KM; 2031: 100.000 KM – budžet</w:t>
            </w:r>
          </w:p>
        </w:tc>
        <w:tc>
          <w:tcPr>
            <w:tcW w:w="1525" w:type="dxa"/>
          </w:tcPr>
          <w:p w14:paraId="0CB83023"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Neovlašten pristup; neusklađenost sistema; prekid servisa</w:t>
            </w:r>
          </w:p>
        </w:tc>
      </w:tr>
      <w:tr w:rsidR="001F77DD" w14:paraId="27A1F927" w14:textId="77777777">
        <w:tc>
          <w:tcPr>
            <w:tcW w:w="3269" w:type="dxa"/>
            <w:vAlign w:val="center"/>
          </w:tcPr>
          <w:p w14:paraId="614B123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lastRenderedPageBreak/>
              <w:t>3.2. Razvoj i unapređenje mrežne infrastrukture za prenos podataka</w:t>
            </w:r>
          </w:p>
        </w:tc>
        <w:tc>
          <w:tcPr>
            <w:tcW w:w="3694" w:type="dxa"/>
          </w:tcPr>
          <w:p w14:paraId="1806AAD0"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Razvoj i implementacija mrežne infrastrukture velikih kapaciteta, uključujući optičke veze i druge savremene tehnologije; povećanje kapaciteta, dostupnosti, sigurnosti i pouzdanosti prenosa podataka; smanjenje zavisnosti od radio-relejnih pravaca gdje je to tehnički i ekonomski opravdano.</w:t>
            </w:r>
          </w:p>
        </w:tc>
        <w:tc>
          <w:tcPr>
            <w:tcW w:w="1591" w:type="dxa"/>
          </w:tcPr>
          <w:p w14:paraId="52D3B771"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18"/>
              </w:rPr>
              <w:t xml:space="preserve">Zakon o Agenciji, član 2. tačka e); član 8. stav (1) tač. e), h), i) i j). Uputstvo 31/25, član 4. st. (1)–(3); </w:t>
            </w:r>
            <w:r>
              <w:rPr>
                <w:rFonts w:ascii="Times New Roman" w:eastAsia="Times New Roman" w:hAnsi="Times New Roman"/>
                <w:sz w:val="18"/>
                <w:szCs w:val="24"/>
              </w:rPr>
              <w:t>primjenjivi telekomunikacioni propisi; interni sigurnosni standardi</w:t>
            </w:r>
          </w:p>
        </w:tc>
        <w:tc>
          <w:tcPr>
            <w:tcW w:w="1819" w:type="dxa"/>
          </w:tcPr>
          <w:p w14:paraId="1F3147A3"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Razvoj, održavanje i upravljanje mrežnom infrastrukturom Sistema IDDEEA</w:t>
            </w:r>
          </w:p>
        </w:tc>
        <w:tc>
          <w:tcPr>
            <w:tcW w:w="1421" w:type="dxa"/>
          </w:tcPr>
          <w:p w14:paraId="40960D09"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RC Sarajevo; telekom operateri; tehnički partneri</w:t>
            </w:r>
          </w:p>
        </w:tc>
        <w:tc>
          <w:tcPr>
            <w:tcW w:w="2160" w:type="dxa"/>
          </w:tcPr>
          <w:p w14:paraId="577EDD6C"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Kapacitet mreže; dostupnost; broj prekida; vrijeme oporavka; % optičkih veza</w:t>
            </w:r>
          </w:p>
        </w:tc>
        <w:tc>
          <w:tcPr>
            <w:tcW w:w="1080" w:type="dxa"/>
          </w:tcPr>
          <w:p w14:paraId="39015931"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početnim mjerenjem u 2027. godini</w:t>
            </w:r>
          </w:p>
        </w:tc>
        <w:tc>
          <w:tcPr>
            <w:tcW w:w="2104" w:type="dxa"/>
          </w:tcPr>
          <w:p w14:paraId="03C7884B"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≥99,9% dostupnost ključnih mrežnih veza; povećanje kapaciteta prema planu</w:t>
            </w:r>
          </w:p>
        </w:tc>
        <w:tc>
          <w:tcPr>
            <w:tcW w:w="1194" w:type="dxa"/>
          </w:tcPr>
          <w:p w14:paraId="18C45068"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18 mjeseci od usvajanja Strategije, potom kontinuirano do kraja 2031.</w:t>
            </w:r>
          </w:p>
        </w:tc>
        <w:tc>
          <w:tcPr>
            <w:tcW w:w="1535" w:type="dxa"/>
          </w:tcPr>
          <w:p w14:paraId="3E4D713C"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Network monitoring; SLA izvještaji; rezultati sigurnosnih provjera</w:t>
            </w:r>
          </w:p>
        </w:tc>
        <w:tc>
          <w:tcPr>
            <w:tcW w:w="1478" w:type="dxa"/>
          </w:tcPr>
          <w:p w14:paraId="3BFDE144"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2027: 670.000 KM; 2028: 500.000 KM; 2029: 500.000 KM; 2030: 500.000 KM; 2031: 500.000 KM – budžet</w:t>
            </w:r>
          </w:p>
        </w:tc>
        <w:tc>
          <w:tcPr>
            <w:tcW w:w="1525" w:type="dxa"/>
          </w:tcPr>
          <w:p w14:paraId="15B7B8B6"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Kvarovi; fizička oštećenja; prekidi telekomunikacionih veza</w:t>
            </w:r>
          </w:p>
        </w:tc>
      </w:tr>
      <w:tr w:rsidR="001F77DD" w14:paraId="0BE01507" w14:textId="77777777">
        <w:tc>
          <w:tcPr>
            <w:tcW w:w="22870" w:type="dxa"/>
            <w:gridSpan w:val="12"/>
            <w:vAlign w:val="center"/>
          </w:tcPr>
          <w:p w14:paraId="5EB0F1A8" w14:textId="77777777" w:rsidR="001F77DD" w:rsidRDefault="00D97F9C">
            <w:pPr>
              <w:spacing w:after="60"/>
              <w:jc w:val="center"/>
              <w:rPr>
                <w:rFonts w:ascii="Times New Roman" w:eastAsia="Times New Roman" w:hAnsi="Times New Roman"/>
                <w:b/>
                <w:sz w:val="24"/>
                <w:szCs w:val="24"/>
              </w:rPr>
            </w:pPr>
            <w:r>
              <w:rPr>
                <w:rFonts w:ascii="Times New Roman" w:eastAsia="Times New Roman" w:hAnsi="Times New Roman"/>
                <w:b/>
                <w:bCs/>
                <w:sz w:val="18"/>
                <w:szCs w:val="24"/>
              </w:rPr>
              <w:t>SC4. Digitalni identitet, elektronski certifikati i digitalno potpisivanje</w:t>
            </w:r>
          </w:p>
        </w:tc>
      </w:tr>
      <w:tr w:rsidR="001F77DD" w14:paraId="2E936870" w14:textId="77777777">
        <w:tc>
          <w:tcPr>
            <w:tcW w:w="3269" w:type="dxa"/>
            <w:vAlign w:val="center"/>
          </w:tcPr>
          <w:p w14:paraId="6B20911D" w14:textId="77777777" w:rsidR="001F77DD" w:rsidRDefault="00D97F9C">
            <w:pPr>
              <w:spacing w:after="60"/>
              <w:rPr>
                <w:rFonts w:ascii="Times New Roman" w:eastAsia="Times New Roman" w:hAnsi="Times New Roman"/>
                <w:bCs/>
                <w:sz w:val="18"/>
                <w:szCs w:val="24"/>
              </w:rPr>
            </w:pPr>
            <w:r>
              <w:rPr>
                <w:rFonts w:ascii="Times New Roman" w:eastAsia="Times New Roman" w:hAnsi="Times New Roman"/>
                <w:bCs/>
                <w:sz w:val="18"/>
                <w:szCs w:val="24"/>
              </w:rPr>
              <w:t>4.1. Razvoj i unapređenje digitalnog identiteta i Sistema IDDEEA</w:t>
            </w:r>
          </w:p>
        </w:tc>
        <w:tc>
          <w:tcPr>
            <w:tcW w:w="3694" w:type="dxa"/>
          </w:tcPr>
          <w:p w14:paraId="5B6C0536"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Unapređenje tehničke arhitekture digitalnog identiteta u značenju Uputstva 31/25, autentifikacije, autorizacije, upravljanja korisničkim pristupom, web i mobilnih aplikacija i sigurnosnih funkcionalnosti.</w:t>
            </w:r>
          </w:p>
        </w:tc>
        <w:tc>
          <w:tcPr>
            <w:tcW w:w="1591" w:type="dxa"/>
          </w:tcPr>
          <w:p w14:paraId="5A10D63C"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18"/>
              </w:rPr>
              <w:t xml:space="preserve">Zakon o Agenciji, član 8. stav (1) tač. d), e), g), i) i j), te stav (6) za certifikacijske komponente; član 9. stav (2). </w:t>
            </w:r>
          </w:p>
          <w:p w14:paraId="780C3549"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18"/>
              </w:rPr>
              <w:t xml:space="preserve">Uputstvo o tehničkim i operativnim pravilima pristupa sistemima Agencije za identifikacione dokumente, evidenciju i razmjenu podataka Bosne i Hercegovine („Službeni glasnik BiH“, broj 31/25), član 2. tač. a), g), h) i j); član 3. st. (1)–(5); član 6. st. (1)–(5); </w:t>
            </w:r>
            <w:r>
              <w:rPr>
                <w:rFonts w:ascii="Times New Roman" w:eastAsia="Times New Roman" w:hAnsi="Times New Roman"/>
                <w:sz w:val="18"/>
                <w:szCs w:val="24"/>
              </w:rPr>
              <w:t>relevantni propisi o zaštiti ličnih podataka i informacionoj sigurnosti</w:t>
            </w:r>
          </w:p>
        </w:tc>
        <w:tc>
          <w:tcPr>
            <w:tcW w:w="1819" w:type="dxa"/>
          </w:tcPr>
          <w:p w14:paraId="52F7B208"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Razvoj, održavanje i unapređenje tehničkih komponenti Sistema IDDEEA za digitalni identitet, autentifikaciju, autorizaciju i siguran pristup</w:t>
            </w:r>
          </w:p>
        </w:tc>
        <w:tc>
          <w:tcPr>
            <w:tcW w:w="1421" w:type="dxa"/>
          </w:tcPr>
          <w:p w14:paraId="0375CEE0"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Nadležni organi i korisnici Sistema IDDEEA</w:t>
            </w:r>
          </w:p>
        </w:tc>
        <w:tc>
          <w:tcPr>
            <w:tcW w:w="2160" w:type="dxa"/>
          </w:tcPr>
          <w:p w14:paraId="598E256A"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Broj korisnika; broj uspješnih autentifikacija; vrijeme autentifikacije; dostupnost servisa; broj sigurnosnih incidenata</w:t>
            </w:r>
          </w:p>
        </w:tc>
        <w:tc>
          <w:tcPr>
            <w:tcW w:w="1080" w:type="dxa"/>
          </w:tcPr>
          <w:p w14:paraId="3D3E3CA2"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početnim mjerenjem u 2027. godini</w:t>
            </w:r>
          </w:p>
        </w:tc>
        <w:tc>
          <w:tcPr>
            <w:tcW w:w="2104" w:type="dxa"/>
          </w:tcPr>
          <w:p w14:paraId="17A8E6A0"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≥99,9% dostupnost kritičnih funkcionalnosti; kontinuirano povećanje korištenja</w:t>
            </w:r>
          </w:p>
        </w:tc>
        <w:tc>
          <w:tcPr>
            <w:tcW w:w="1194" w:type="dxa"/>
          </w:tcPr>
          <w:p w14:paraId="45A43E73"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tokom 2027–2031.</w:t>
            </w:r>
          </w:p>
        </w:tc>
        <w:tc>
          <w:tcPr>
            <w:tcW w:w="1535" w:type="dxa"/>
          </w:tcPr>
          <w:p w14:paraId="48FC8FB4"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Sistemski logovi; monitoring; izvještaji o sigurnosti; aplikativna statistika</w:t>
            </w:r>
          </w:p>
        </w:tc>
        <w:tc>
          <w:tcPr>
            <w:tcW w:w="1478" w:type="dxa"/>
          </w:tcPr>
          <w:p w14:paraId="1C21C2A3"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Prema godišnjim planovima</w:t>
            </w:r>
          </w:p>
        </w:tc>
        <w:tc>
          <w:tcPr>
            <w:tcW w:w="1525" w:type="dxa"/>
          </w:tcPr>
          <w:p w14:paraId="56349D50"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Cyber napadi; promjene pravnog okvira; tehnički rizici</w:t>
            </w:r>
          </w:p>
        </w:tc>
      </w:tr>
      <w:tr w:rsidR="001F77DD" w14:paraId="681A61AF" w14:textId="77777777">
        <w:tc>
          <w:tcPr>
            <w:tcW w:w="3269" w:type="dxa"/>
            <w:vAlign w:val="center"/>
          </w:tcPr>
          <w:p w14:paraId="4E062905"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t>4.1. Razvoj i unapređenje digitalnog identiteta i Sistema IDDEEA</w:t>
            </w:r>
          </w:p>
        </w:tc>
        <w:tc>
          <w:tcPr>
            <w:tcW w:w="3694" w:type="dxa"/>
          </w:tcPr>
          <w:p w14:paraId="5D60802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Analiza i razvoj tehničke spremnosti za buduću interoperabilnost sa evropskim rješenjima elektronske identifikacije i EUDI Wallet ekosistemom, pod uslovom postojanja odgovarajućih pravnih i institucionalnih pretpostavki.</w:t>
            </w:r>
          </w:p>
        </w:tc>
        <w:tc>
          <w:tcPr>
            <w:tcW w:w="1591" w:type="dxa"/>
          </w:tcPr>
          <w:p w14:paraId="5A21421E"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Relevantni propisi BiH i relevantni EU okvir</w:t>
            </w:r>
          </w:p>
        </w:tc>
        <w:tc>
          <w:tcPr>
            <w:tcW w:w="1819" w:type="dxa"/>
          </w:tcPr>
          <w:p w14:paraId="48F24C98"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Praćenje standarda i razvoj tehničke spremnosti za buduću interoperabilnost</w:t>
            </w:r>
          </w:p>
        </w:tc>
        <w:tc>
          <w:tcPr>
            <w:tcW w:w="1421" w:type="dxa"/>
          </w:tcPr>
          <w:p w14:paraId="127138F1"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Nadležni organi; relevantne evropske institucije i tehnički partneri</w:t>
            </w:r>
          </w:p>
        </w:tc>
        <w:tc>
          <w:tcPr>
            <w:tcW w:w="2160" w:type="dxa"/>
          </w:tcPr>
          <w:p w14:paraId="1CA2213D"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Izrađena analiza spremnosti; broj interoperabilnih komponenti; broj provedenih testova/PoC aktivnosti</w:t>
            </w:r>
          </w:p>
        </w:tc>
        <w:tc>
          <w:tcPr>
            <w:tcW w:w="1080" w:type="dxa"/>
          </w:tcPr>
          <w:p w14:paraId="12E1D0AB"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Početno stanje utvrditi analizom u 2027. godini</w:t>
            </w:r>
          </w:p>
        </w:tc>
        <w:tc>
          <w:tcPr>
            <w:tcW w:w="2104" w:type="dxa"/>
          </w:tcPr>
          <w:p w14:paraId="7C0EE9BD"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Izrađena tehnička analiza i plan interoperabilnosti; realizacija prioritetnih aktivnosti kada se ispune pretpostavke</w:t>
            </w:r>
          </w:p>
        </w:tc>
        <w:tc>
          <w:tcPr>
            <w:tcW w:w="1194" w:type="dxa"/>
          </w:tcPr>
          <w:p w14:paraId="6329EBA6"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tokom 2027–2031.</w:t>
            </w:r>
          </w:p>
        </w:tc>
        <w:tc>
          <w:tcPr>
            <w:tcW w:w="1535" w:type="dxa"/>
          </w:tcPr>
          <w:p w14:paraId="5A422009"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Studije; tehnička dokumentacija; testni izvještaji</w:t>
            </w:r>
          </w:p>
        </w:tc>
        <w:tc>
          <w:tcPr>
            <w:tcW w:w="1478" w:type="dxa"/>
          </w:tcPr>
          <w:p w14:paraId="35D3E63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 okviru planiranih sredstava / međunarodni projekti</w:t>
            </w:r>
          </w:p>
        </w:tc>
        <w:tc>
          <w:tcPr>
            <w:tcW w:w="1525" w:type="dxa"/>
          </w:tcPr>
          <w:p w14:paraId="1D33A9DE"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Nepostojanje pravnih pretpostavki; promjene evropskog okvira</w:t>
            </w:r>
          </w:p>
        </w:tc>
      </w:tr>
      <w:tr w:rsidR="001F77DD" w14:paraId="57225DF9" w14:textId="77777777">
        <w:tc>
          <w:tcPr>
            <w:tcW w:w="3269" w:type="dxa"/>
            <w:vAlign w:val="center"/>
          </w:tcPr>
          <w:p w14:paraId="79561ED9"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t>4.2. Razvoj PKI infrastrukture, elektronskih certifikata i sistema digitalnog potpisivanja</w:t>
            </w:r>
          </w:p>
        </w:tc>
        <w:tc>
          <w:tcPr>
            <w:tcW w:w="3694" w:type="dxa"/>
          </w:tcPr>
          <w:p w14:paraId="77EA73A6"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Održavanje i razvoj PKI infrastrukture; upravljanje životnim ciklusom certifikata; razvoj udaljenog potpisivanja; sigurnosna unapređenja; integracije sa informacionim sistemima korisnika kada postoji pravni osnov; razvoj registracionih funkcija; kontinuitet poslovanja; sigurnosno testiranje; praćenje relevantnih evropskih tehničkih standarda.</w:t>
            </w:r>
          </w:p>
        </w:tc>
        <w:tc>
          <w:tcPr>
            <w:tcW w:w="1591" w:type="dxa"/>
          </w:tcPr>
          <w:p w14:paraId="78639B3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18"/>
              </w:rPr>
              <w:t>Zakon o Agenciji, član 8. stav (6). Zakon o elektronskom potpisu („Službeni glasnik BiH“, broj 91/06): član 6. st. (1)–(3); član 7. st. (2)–(6); član 8. st. (1)–(5); član 9. st. (1)–(3); član 10. st. (1)–(3); član 12. st. (1) i (2); član 14. st. (1)–(5); član 18. st. (1) i (2);</w:t>
            </w:r>
            <w:r>
              <w:rPr>
                <w:rFonts w:ascii="Times New Roman" w:eastAsia="Times New Roman" w:hAnsi="Times New Roman"/>
                <w:sz w:val="18"/>
                <w:szCs w:val="24"/>
              </w:rPr>
              <w:t xml:space="preserve"> podzakonski akti; interni PKI akti; relevantni </w:t>
            </w:r>
            <w:r>
              <w:rPr>
                <w:rFonts w:ascii="Times New Roman" w:eastAsia="Times New Roman" w:hAnsi="Times New Roman"/>
                <w:sz w:val="18"/>
                <w:szCs w:val="24"/>
              </w:rPr>
              <w:lastRenderedPageBreak/>
              <w:t>evropski tehnički standardi</w:t>
            </w:r>
          </w:p>
        </w:tc>
        <w:tc>
          <w:tcPr>
            <w:tcW w:w="1819" w:type="dxa"/>
          </w:tcPr>
          <w:p w14:paraId="20468D2F"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lastRenderedPageBreak/>
              <w:t>Razvoj i održavanje PKI infrastrukture, elektronskih certifikata i sistema digitalnog potpisivanja u okviru zakonskih nadležnosti</w:t>
            </w:r>
          </w:p>
        </w:tc>
        <w:tc>
          <w:tcPr>
            <w:tcW w:w="1421" w:type="dxa"/>
          </w:tcPr>
          <w:p w14:paraId="4DA315D2"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Nadležni organi; korisnici sistema; tehnički partneri</w:t>
            </w:r>
          </w:p>
        </w:tc>
        <w:tc>
          <w:tcPr>
            <w:tcW w:w="2160" w:type="dxa"/>
          </w:tcPr>
          <w:p w14:paraId="0488F9A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Broj aktivnih certifikata; broj uspješnih potpisa; dostupnost PKI servisa; vrijeme izdavanja/obnove certifikata; broj sigurnosnih incidenata</w:t>
            </w:r>
          </w:p>
        </w:tc>
        <w:tc>
          <w:tcPr>
            <w:tcW w:w="1080" w:type="dxa"/>
          </w:tcPr>
          <w:p w14:paraId="15DE1F69"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početnim mjerenjem u 2027. godini</w:t>
            </w:r>
          </w:p>
        </w:tc>
        <w:tc>
          <w:tcPr>
            <w:tcW w:w="2104" w:type="dxa"/>
          </w:tcPr>
          <w:p w14:paraId="0567CB4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≥99,9% dostupnost ključnih PKI servisa; kontinuirano povećanje korištenja certifikata i digitalnog potpisa</w:t>
            </w:r>
          </w:p>
        </w:tc>
        <w:tc>
          <w:tcPr>
            <w:tcW w:w="1194" w:type="dxa"/>
          </w:tcPr>
          <w:p w14:paraId="79EE04E2"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tokom 2027–2031.</w:t>
            </w:r>
          </w:p>
        </w:tc>
        <w:tc>
          <w:tcPr>
            <w:tcW w:w="1535" w:type="dxa"/>
          </w:tcPr>
          <w:p w14:paraId="3B3E44BE"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PKI/CA logovi; certifikati; audit i testni izvještaji</w:t>
            </w:r>
          </w:p>
        </w:tc>
        <w:tc>
          <w:tcPr>
            <w:tcW w:w="1478" w:type="dxa"/>
          </w:tcPr>
          <w:p w14:paraId="5EE00390"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24"/>
              </w:rPr>
              <w:t xml:space="preserve">2027: 400.000 KM; 2028: </w:t>
            </w:r>
          </w:p>
          <w:p w14:paraId="37254C44"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24"/>
              </w:rPr>
              <w:t xml:space="preserve">70.000 KM; 2029: </w:t>
            </w:r>
          </w:p>
          <w:p w14:paraId="483C2EAD"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70.000 KM; 2030: 200.000 KM; 2031: 200.000 KM – budžet</w:t>
            </w:r>
          </w:p>
        </w:tc>
        <w:tc>
          <w:tcPr>
            <w:tcW w:w="1525" w:type="dxa"/>
          </w:tcPr>
          <w:p w14:paraId="52F5A3A6"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Kompromitacija ključeva; cyber napadi; promjene standarda</w:t>
            </w:r>
          </w:p>
        </w:tc>
      </w:tr>
      <w:tr w:rsidR="001F77DD" w14:paraId="5C7C0CC5" w14:textId="77777777">
        <w:tc>
          <w:tcPr>
            <w:tcW w:w="3269" w:type="dxa"/>
            <w:vAlign w:val="center"/>
          </w:tcPr>
          <w:p w14:paraId="28F33CFF"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lastRenderedPageBreak/>
              <w:t>4.2. Razvoj PKI infrastrukture, elektronskih certifikata i sistema digitalnog potpisivanja</w:t>
            </w:r>
          </w:p>
        </w:tc>
        <w:tc>
          <w:tcPr>
            <w:tcW w:w="3694" w:type="dxa"/>
          </w:tcPr>
          <w:p w14:paraId="1677CFE4"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Puštanje novih ili unaprijeđenih funkcionalnosti u operativnu upotrebu nakon ispunjenja propisanih pravnih, sigurnosnih i tehničkih uslova.</w:t>
            </w:r>
          </w:p>
        </w:tc>
        <w:tc>
          <w:tcPr>
            <w:tcW w:w="1591" w:type="dxa"/>
          </w:tcPr>
          <w:p w14:paraId="0D6F1BB9"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Važeći propisi i interni akti</w:t>
            </w:r>
          </w:p>
        </w:tc>
        <w:tc>
          <w:tcPr>
            <w:tcW w:w="1819" w:type="dxa"/>
          </w:tcPr>
          <w:p w14:paraId="7A873D0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Operativno stavljanje novih funkcionalnosti u upotrebu</w:t>
            </w:r>
          </w:p>
        </w:tc>
        <w:tc>
          <w:tcPr>
            <w:tcW w:w="1421" w:type="dxa"/>
          </w:tcPr>
          <w:p w14:paraId="313D37EB"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Nadležni organi i korisnici</w:t>
            </w:r>
          </w:p>
        </w:tc>
        <w:tc>
          <w:tcPr>
            <w:tcW w:w="2160" w:type="dxa"/>
          </w:tcPr>
          <w:p w14:paraId="6F54CDA2"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Broj funkcionalnosti puštenih u operativnu upotrebu; % funkcionalnosti koje su prošle sigurnosno i tehničko testiranje</w:t>
            </w:r>
          </w:p>
        </w:tc>
        <w:tc>
          <w:tcPr>
            <w:tcW w:w="1080" w:type="dxa"/>
          </w:tcPr>
          <w:p w14:paraId="2361A8FA"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u 2027. godini</w:t>
            </w:r>
          </w:p>
        </w:tc>
        <w:tc>
          <w:tcPr>
            <w:tcW w:w="2104" w:type="dxa"/>
          </w:tcPr>
          <w:p w14:paraId="749C52AA"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100% novih funkcionalnosti prolazi definisane pravne, sigurnosne i tehničke provjere prije produkcije</w:t>
            </w:r>
          </w:p>
        </w:tc>
        <w:tc>
          <w:tcPr>
            <w:tcW w:w="1194" w:type="dxa"/>
          </w:tcPr>
          <w:p w14:paraId="2C1C276A"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tokom 2027–2031.</w:t>
            </w:r>
          </w:p>
        </w:tc>
        <w:tc>
          <w:tcPr>
            <w:tcW w:w="1535" w:type="dxa"/>
          </w:tcPr>
          <w:p w14:paraId="4F20D776"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Testni izvještaji; zapisnici o puštanju u rad</w:t>
            </w:r>
          </w:p>
        </w:tc>
        <w:tc>
          <w:tcPr>
            <w:tcW w:w="1478" w:type="dxa"/>
          </w:tcPr>
          <w:p w14:paraId="39F6AE6C"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 okviru mjere 4.2</w:t>
            </w:r>
          </w:p>
        </w:tc>
        <w:tc>
          <w:tcPr>
            <w:tcW w:w="1525" w:type="dxa"/>
          </w:tcPr>
          <w:p w14:paraId="478E35EF"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Neispunjavanje propisanih uslova</w:t>
            </w:r>
          </w:p>
        </w:tc>
      </w:tr>
      <w:tr w:rsidR="001F77DD" w14:paraId="1E02D050" w14:textId="77777777">
        <w:tc>
          <w:tcPr>
            <w:tcW w:w="22870" w:type="dxa"/>
            <w:gridSpan w:val="12"/>
            <w:vAlign w:val="center"/>
          </w:tcPr>
          <w:p w14:paraId="69B3A321" w14:textId="77777777" w:rsidR="001F77DD" w:rsidRDefault="00D97F9C">
            <w:pPr>
              <w:spacing w:after="60"/>
              <w:jc w:val="center"/>
              <w:rPr>
                <w:rFonts w:ascii="Times New Roman" w:eastAsia="Times New Roman" w:hAnsi="Times New Roman"/>
                <w:b/>
                <w:sz w:val="18"/>
                <w:szCs w:val="24"/>
              </w:rPr>
            </w:pPr>
            <w:r>
              <w:rPr>
                <w:rFonts w:ascii="Times New Roman" w:eastAsia="Times New Roman" w:hAnsi="Times New Roman"/>
                <w:b/>
                <w:bCs/>
                <w:sz w:val="18"/>
                <w:szCs w:val="24"/>
              </w:rPr>
              <w:t>SC5. Cyber sigurnost, zaštita ličnih podataka i otpornost</w:t>
            </w:r>
          </w:p>
        </w:tc>
      </w:tr>
      <w:tr w:rsidR="001F77DD" w14:paraId="6CFE525E" w14:textId="77777777">
        <w:tc>
          <w:tcPr>
            <w:tcW w:w="3269" w:type="dxa"/>
            <w:vAlign w:val="center"/>
          </w:tcPr>
          <w:p w14:paraId="520FCF31"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t>5.1. Uspostavljanje i jačanje funkcije kibernetičke sigurnosti</w:t>
            </w:r>
          </w:p>
        </w:tc>
        <w:tc>
          <w:tcPr>
            <w:tcW w:w="3694" w:type="dxa"/>
          </w:tcPr>
          <w:p w14:paraId="438C6B02"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Uspostavljanje/jačanje specijalizovanih kapaciteta za cyber sigurnost; definisanje odgovornosti; razvoj politika i procedura; monitoring; detekcija i odgovor na incidente; sigurnosne provjere; obuke zaposlenih i simulacije incidenata.</w:t>
            </w:r>
          </w:p>
        </w:tc>
        <w:tc>
          <w:tcPr>
            <w:tcW w:w="1591" w:type="dxa"/>
          </w:tcPr>
          <w:p w14:paraId="7CF20E41"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18"/>
              </w:rPr>
              <w:t>Zakon o Agenciji, član 8. stav (1) tač. e), i) i j); član 11. st. (1)–(3). Uputstvo o tehničkim i operativnim pravilima pristupa sistemima Agencije za identifikacione dokumente, evidenciju i razmjenu podataka Bosne i Hercegovine („Službeni glasnik BiH“, broj 31/25, član 3. st. (3)–(5); član 4. st. (1)–(3); član 5. st. (1) i (2); član 7. st. (1)–(4);</w:t>
            </w:r>
            <w:r>
              <w:rPr>
                <w:rFonts w:ascii="Times New Roman" w:eastAsia="Times New Roman" w:hAnsi="Times New Roman"/>
                <w:sz w:val="18"/>
                <w:szCs w:val="24"/>
              </w:rPr>
              <w:t xml:space="preserve"> </w:t>
            </w:r>
          </w:p>
          <w:p w14:paraId="74E4EF99"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18"/>
              </w:rPr>
              <w:t xml:space="preserve">Zakon o zaštiti ličnih podataka, član 7. stav (1) tačka f); </w:t>
            </w:r>
            <w:r>
              <w:rPr>
                <w:rFonts w:ascii="Times New Roman" w:eastAsia="Times New Roman" w:hAnsi="Times New Roman"/>
                <w:sz w:val="18"/>
                <w:szCs w:val="24"/>
              </w:rPr>
              <w:t>ISO/IEC 27001; ISO/IEC 27002</w:t>
            </w:r>
          </w:p>
        </w:tc>
        <w:tc>
          <w:tcPr>
            <w:tcW w:w="1819" w:type="dxa"/>
          </w:tcPr>
          <w:p w14:paraId="6D19CE58"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Zaštita Sistema IDDEEA i podataka u okviru nadležnosti Agencije</w:t>
            </w:r>
          </w:p>
        </w:tc>
        <w:tc>
          <w:tcPr>
            <w:tcW w:w="1421" w:type="dxa"/>
          </w:tcPr>
          <w:p w14:paraId="120DF431"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Tehnički sektor; RC Sarajevo; nadležni organi</w:t>
            </w:r>
          </w:p>
        </w:tc>
        <w:tc>
          <w:tcPr>
            <w:tcW w:w="2160" w:type="dxa"/>
          </w:tcPr>
          <w:p w14:paraId="3C5DB6C5"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Vrijeme detekcije; vrijeme reakcije; broj incidenata; broj zaposlenih obučenih za cyber sigurnost; broj testova</w:t>
            </w:r>
          </w:p>
        </w:tc>
        <w:tc>
          <w:tcPr>
            <w:tcW w:w="1080" w:type="dxa"/>
          </w:tcPr>
          <w:p w14:paraId="72397B88"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početnim mjerenjem u 2027. godini</w:t>
            </w:r>
          </w:p>
        </w:tc>
        <w:tc>
          <w:tcPr>
            <w:tcW w:w="2104" w:type="dxa"/>
          </w:tcPr>
          <w:p w14:paraId="2244F3B0"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Definisani i funkcionalni kapaciteti; kontinuirano smanjenje vremena reakcije; 100% kritičnih sistema obuhvaćeno monitoringom</w:t>
            </w:r>
          </w:p>
        </w:tc>
        <w:tc>
          <w:tcPr>
            <w:tcW w:w="1194" w:type="dxa"/>
          </w:tcPr>
          <w:p w14:paraId="4A45745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tokom 2027–2031.</w:t>
            </w:r>
          </w:p>
        </w:tc>
        <w:tc>
          <w:tcPr>
            <w:tcW w:w="1535" w:type="dxa"/>
          </w:tcPr>
          <w:p w14:paraId="658CF96E"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SIEM/monitoring; incident reports; audit izvještaji; evidencije obuka</w:t>
            </w:r>
          </w:p>
        </w:tc>
        <w:tc>
          <w:tcPr>
            <w:tcW w:w="1478" w:type="dxa"/>
          </w:tcPr>
          <w:p w14:paraId="6C49EA44"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 okviru sredstava SC2/SC5</w:t>
            </w:r>
          </w:p>
        </w:tc>
        <w:tc>
          <w:tcPr>
            <w:tcW w:w="1525" w:type="dxa"/>
          </w:tcPr>
          <w:p w14:paraId="6AAD35D3"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Cyber napadi; nedostatak stručnog kadra</w:t>
            </w:r>
          </w:p>
        </w:tc>
      </w:tr>
      <w:tr w:rsidR="001F77DD" w14:paraId="73AAE106" w14:textId="77777777">
        <w:tc>
          <w:tcPr>
            <w:tcW w:w="3269" w:type="dxa"/>
            <w:vAlign w:val="center"/>
          </w:tcPr>
          <w:p w14:paraId="463EAE82"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t>5.2. Kontinuitet poslovanja, disaster recovery i backup centralnih evidencija</w:t>
            </w:r>
          </w:p>
        </w:tc>
        <w:tc>
          <w:tcPr>
            <w:tcW w:w="3694" w:type="dxa"/>
          </w:tcPr>
          <w:p w14:paraId="6DB985D1"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Analiza postojećih kapaciteta; razvoj i implementacija DR i backup rješenja; testiranje i verifikacija; obuka zaposlenih; simulacije oporavka.</w:t>
            </w:r>
          </w:p>
        </w:tc>
        <w:tc>
          <w:tcPr>
            <w:tcW w:w="1591" w:type="dxa"/>
          </w:tcPr>
          <w:p w14:paraId="00ABAF43"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18"/>
              </w:rPr>
              <w:t>Zakon o Agenciji, član 8. stav (1) tač. d), e) i g), stav (4); član 11. stav (1). Zakon o zaštiti ličnih podataka, član 7. stav (1) tačka f);</w:t>
            </w:r>
          </w:p>
          <w:p w14:paraId="014FA5E8"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24"/>
              </w:rPr>
              <w:t>ISO 22301; ISO/IEC 27001; interni pravilnici i procedure</w:t>
            </w:r>
          </w:p>
        </w:tc>
        <w:tc>
          <w:tcPr>
            <w:tcW w:w="1819" w:type="dxa"/>
          </w:tcPr>
          <w:p w14:paraId="679C55DF"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Osiguranje dostupnosti i kontinuiteta kritičnih informacionih sistema</w:t>
            </w:r>
          </w:p>
        </w:tc>
        <w:tc>
          <w:tcPr>
            <w:tcW w:w="1421" w:type="dxa"/>
          </w:tcPr>
          <w:p w14:paraId="73974CBD"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Tehnički sektor; drugi OOJ</w:t>
            </w:r>
          </w:p>
        </w:tc>
        <w:tc>
          <w:tcPr>
            <w:tcW w:w="2160" w:type="dxa"/>
          </w:tcPr>
          <w:p w14:paraId="0E67D63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RTO/RPO; % uspješno obnovljenih sistema; broj testiranja; vrijeme oporavka</w:t>
            </w:r>
          </w:p>
        </w:tc>
        <w:tc>
          <w:tcPr>
            <w:tcW w:w="1080" w:type="dxa"/>
          </w:tcPr>
          <w:p w14:paraId="4091B0A8"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početnim testiranjem u 2027. godini</w:t>
            </w:r>
          </w:p>
        </w:tc>
        <w:tc>
          <w:tcPr>
            <w:tcW w:w="2104" w:type="dxa"/>
          </w:tcPr>
          <w:p w14:paraId="3032EB1C"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100% kritičnih sistema obuhvaćeno DR planovima i testiranjem</w:t>
            </w:r>
          </w:p>
        </w:tc>
        <w:tc>
          <w:tcPr>
            <w:tcW w:w="1194" w:type="dxa"/>
          </w:tcPr>
          <w:p w14:paraId="2C724EFD"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tokom 2027–2031.</w:t>
            </w:r>
          </w:p>
        </w:tc>
        <w:tc>
          <w:tcPr>
            <w:tcW w:w="1535" w:type="dxa"/>
          </w:tcPr>
          <w:p w14:paraId="384D1421"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DR izvještaji; backup logovi; testovi oporavka</w:t>
            </w:r>
          </w:p>
        </w:tc>
        <w:tc>
          <w:tcPr>
            <w:tcW w:w="1478" w:type="dxa"/>
          </w:tcPr>
          <w:p w14:paraId="000A1620"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 okviru SC2 i SC5</w:t>
            </w:r>
          </w:p>
        </w:tc>
        <w:tc>
          <w:tcPr>
            <w:tcW w:w="1525" w:type="dxa"/>
          </w:tcPr>
          <w:p w14:paraId="1DFF7ED4"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Gubitak podataka; nedovoljni kapaciteti; prirodne katastrofe</w:t>
            </w:r>
          </w:p>
        </w:tc>
      </w:tr>
      <w:tr w:rsidR="001F77DD" w14:paraId="7D878D33" w14:textId="77777777">
        <w:tc>
          <w:tcPr>
            <w:tcW w:w="22870" w:type="dxa"/>
            <w:gridSpan w:val="12"/>
            <w:vAlign w:val="center"/>
          </w:tcPr>
          <w:p w14:paraId="43838969" w14:textId="77777777" w:rsidR="001F77DD" w:rsidRDefault="00D97F9C">
            <w:pPr>
              <w:spacing w:after="60"/>
              <w:jc w:val="center"/>
              <w:rPr>
                <w:rFonts w:ascii="Times New Roman" w:eastAsia="Times New Roman" w:hAnsi="Times New Roman"/>
                <w:b/>
                <w:sz w:val="18"/>
                <w:szCs w:val="24"/>
              </w:rPr>
            </w:pPr>
            <w:r>
              <w:rPr>
                <w:rFonts w:ascii="Times New Roman" w:eastAsia="Times New Roman" w:hAnsi="Times New Roman"/>
                <w:b/>
                <w:bCs/>
                <w:sz w:val="18"/>
                <w:szCs w:val="24"/>
              </w:rPr>
              <w:t>SC6. Međunarodna interoperabilnost i razvojna saradnja</w:t>
            </w:r>
          </w:p>
        </w:tc>
      </w:tr>
      <w:tr w:rsidR="001F77DD" w14:paraId="5440DEA1" w14:textId="77777777">
        <w:tc>
          <w:tcPr>
            <w:tcW w:w="3269" w:type="dxa"/>
            <w:vAlign w:val="center"/>
          </w:tcPr>
          <w:p w14:paraId="08074842"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t>6.1. Identifikacija i osiguravanje međunarodnog finansiranja za projekte iz zakonskog djelokruga Agencije</w:t>
            </w:r>
          </w:p>
        </w:tc>
        <w:tc>
          <w:tcPr>
            <w:tcW w:w="3694" w:type="dxa"/>
          </w:tcPr>
          <w:p w14:paraId="1A6BB99C"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istraživanje fondova; priprema i podnošenje projektnih prijedloga; razvoj projektnih partnerstava; praćenje evaluacije i implementacije projekata.</w:t>
            </w:r>
          </w:p>
        </w:tc>
        <w:tc>
          <w:tcPr>
            <w:tcW w:w="1591" w:type="dxa"/>
          </w:tcPr>
          <w:p w14:paraId="31BC60E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Relevantni propisi i pravila međunarodnih programa</w:t>
            </w:r>
          </w:p>
        </w:tc>
        <w:tc>
          <w:tcPr>
            <w:tcW w:w="1819" w:type="dxa"/>
          </w:tcPr>
          <w:p w14:paraId="22DE3F7B"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Priprema i realizacija razvojnih projekata iz zakonskog djelokruga Agencije</w:t>
            </w:r>
          </w:p>
        </w:tc>
        <w:tc>
          <w:tcPr>
            <w:tcW w:w="1421" w:type="dxa"/>
          </w:tcPr>
          <w:p w14:paraId="4336290D"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Međunarodne institucije; donatori; domaći i strani partneri</w:t>
            </w:r>
          </w:p>
        </w:tc>
        <w:tc>
          <w:tcPr>
            <w:tcW w:w="2160" w:type="dxa"/>
          </w:tcPr>
          <w:p w14:paraId="0FD1A99F"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Broj aplikacija; broj odobrenih projekata; vrijednost osiguranih sredstava</w:t>
            </w:r>
          </w:p>
        </w:tc>
        <w:tc>
          <w:tcPr>
            <w:tcW w:w="1080" w:type="dxa"/>
          </w:tcPr>
          <w:p w14:paraId="796500B1"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u 2027. godini</w:t>
            </w:r>
          </w:p>
        </w:tc>
        <w:tc>
          <w:tcPr>
            <w:tcW w:w="2104" w:type="dxa"/>
          </w:tcPr>
          <w:p w14:paraId="32D86E8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Najmanje jedan uspješno finansiran projekat godišnje kada postoje odgovarajući pozivi</w:t>
            </w:r>
          </w:p>
        </w:tc>
        <w:tc>
          <w:tcPr>
            <w:tcW w:w="1194" w:type="dxa"/>
          </w:tcPr>
          <w:p w14:paraId="3414FDFF"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tokom 2027–2031.</w:t>
            </w:r>
          </w:p>
        </w:tc>
        <w:tc>
          <w:tcPr>
            <w:tcW w:w="1535" w:type="dxa"/>
          </w:tcPr>
          <w:p w14:paraId="2460E805"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Projektne aplikacije; ugovori; odluke donatora</w:t>
            </w:r>
          </w:p>
        </w:tc>
        <w:tc>
          <w:tcPr>
            <w:tcW w:w="1478" w:type="dxa"/>
          </w:tcPr>
          <w:p w14:paraId="34B1CD20"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Nisu potrebna dodatna sredstva za osnovnu aktivnost</w:t>
            </w:r>
          </w:p>
        </w:tc>
        <w:tc>
          <w:tcPr>
            <w:tcW w:w="1525" w:type="dxa"/>
          </w:tcPr>
          <w:p w14:paraId="24171F24"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Neuspješna aplikacija; neodgovarajući pozivi</w:t>
            </w:r>
          </w:p>
        </w:tc>
      </w:tr>
      <w:tr w:rsidR="001F77DD" w14:paraId="57A99F21" w14:textId="77777777">
        <w:tc>
          <w:tcPr>
            <w:tcW w:w="3269" w:type="dxa"/>
            <w:vAlign w:val="center"/>
          </w:tcPr>
          <w:p w14:paraId="2BBC0C53"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t>6.2. Saradnja sa relevantnim institucijama i partnerima</w:t>
            </w:r>
          </w:p>
        </w:tc>
        <w:tc>
          <w:tcPr>
            <w:tcW w:w="3694" w:type="dxa"/>
          </w:tcPr>
          <w:p w14:paraId="68319DBF"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Aktivna saradnja sa relevantnim institucijama i partnerima u oblastima iz zakonskog djelokruga Agencije; razvoj komunikacionih protokola; zajedničke aktivnosti i projekti.</w:t>
            </w:r>
          </w:p>
        </w:tc>
        <w:tc>
          <w:tcPr>
            <w:tcW w:w="1591" w:type="dxa"/>
          </w:tcPr>
          <w:p w14:paraId="527DA12C"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18"/>
              </w:rPr>
              <w:t xml:space="preserve">Zakon o Agenciji, član 3. stav (2); član 10; član 19. stav (1) tačka i); član 8. stav (7) . </w:t>
            </w:r>
            <w:r>
              <w:rPr>
                <w:rFonts w:ascii="Times New Roman" w:eastAsia="Times New Roman" w:hAnsi="Times New Roman"/>
                <w:sz w:val="18"/>
                <w:szCs w:val="24"/>
              </w:rPr>
              <w:t>i drugi relevantni propisi</w:t>
            </w:r>
          </w:p>
        </w:tc>
        <w:tc>
          <w:tcPr>
            <w:tcW w:w="1819" w:type="dxa"/>
          </w:tcPr>
          <w:p w14:paraId="389CE755"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Institucionalna i tehnička saradnja u okviru zakonskih nadležnosti</w:t>
            </w:r>
          </w:p>
        </w:tc>
        <w:tc>
          <w:tcPr>
            <w:tcW w:w="1421" w:type="dxa"/>
          </w:tcPr>
          <w:p w14:paraId="76637341"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Relevantne institucije i partneri</w:t>
            </w:r>
          </w:p>
        </w:tc>
        <w:tc>
          <w:tcPr>
            <w:tcW w:w="2160" w:type="dxa"/>
          </w:tcPr>
          <w:p w14:paraId="60497A79"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Broj sporazuma; broj zajedničkih aktivnosti/projekata</w:t>
            </w:r>
          </w:p>
        </w:tc>
        <w:tc>
          <w:tcPr>
            <w:tcW w:w="1080" w:type="dxa"/>
          </w:tcPr>
          <w:p w14:paraId="7DEC6984"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u 2027. godini</w:t>
            </w:r>
          </w:p>
        </w:tc>
        <w:tc>
          <w:tcPr>
            <w:tcW w:w="2104" w:type="dxa"/>
          </w:tcPr>
          <w:p w14:paraId="7198ECEE"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povećanje kvaliteta i obima saradnje</w:t>
            </w:r>
          </w:p>
        </w:tc>
        <w:tc>
          <w:tcPr>
            <w:tcW w:w="1194" w:type="dxa"/>
          </w:tcPr>
          <w:p w14:paraId="12C64998"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tokom 2027–2031.</w:t>
            </w:r>
          </w:p>
        </w:tc>
        <w:tc>
          <w:tcPr>
            <w:tcW w:w="1535" w:type="dxa"/>
          </w:tcPr>
          <w:p w14:paraId="5C020BAE"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Sporazumi; zapisnici; izvještaji</w:t>
            </w:r>
          </w:p>
        </w:tc>
        <w:tc>
          <w:tcPr>
            <w:tcW w:w="1478" w:type="dxa"/>
          </w:tcPr>
          <w:p w14:paraId="55870CA5"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Nisu potrebna dodatna sredstva</w:t>
            </w:r>
          </w:p>
        </w:tc>
        <w:tc>
          <w:tcPr>
            <w:tcW w:w="1525" w:type="dxa"/>
          </w:tcPr>
          <w:p w14:paraId="38FCE823"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Nejasna podjela odgovornosti</w:t>
            </w:r>
          </w:p>
        </w:tc>
      </w:tr>
      <w:tr w:rsidR="001F77DD" w14:paraId="214A8A42" w14:textId="77777777">
        <w:tc>
          <w:tcPr>
            <w:tcW w:w="3269" w:type="dxa"/>
            <w:vAlign w:val="center"/>
          </w:tcPr>
          <w:p w14:paraId="2F9D480F"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t>6.3. Učešće na međunarodnim forumima i konferencijama</w:t>
            </w:r>
          </w:p>
        </w:tc>
        <w:tc>
          <w:tcPr>
            <w:tcW w:w="3694" w:type="dxa"/>
          </w:tcPr>
          <w:p w14:paraId="3FE235D3"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Učešće na međunarodnim forumima i konferencijama relevantnim za zakonski djelokrug Agencije; razmjena iskustava; praćenje standarda i prenos znanja unutar Agencije.</w:t>
            </w:r>
          </w:p>
        </w:tc>
        <w:tc>
          <w:tcPr>
            <w:tcW w:w="1591" w:type="dxa"/>
          </w:tcPr>
          <w:p w14:paraId="7FD99722"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18"/>
              </w:rPr>
              <w:t>Zakon o Agenciji, član 8. stav (1) tačka a) i stav (7); član 19. stav (2) tačka d);</w:t>
            </w:r>
          </w:p>
          <w:p w14:paraId="6437B957"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24"/>
              </w:rPr>
              <w:lastRenderedPageBreak/>
              <w:t>Interni akti; propisi o službenim putovanjima</w:t>
            </w:r>
          </w:p>
        </w:tc>
        <w:tc>
          <w:tcPr>
            <w:tcW w:w="1819" w:type="dxa"/>
          </w:tcPr>
          <w:p w14:paraId="48CE28B4"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lastRenderedPageBreak/>
              <w:t>Praćenje međunarodnih standarda i razvoj stručne saradnje</w:t>
            </w:r>
          </w:p>
        </w:tc>
        <w:tc>
          <w:tcPr>
            <w:tcW w:w="1421" w:type="dxa"/>
          </w:tcPr>
          <w:p w14:paraId="27FC6306"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Međunarodne organizacije i institucije</w:t>
            </w:r>
          </w:p>
        </w:tc>
        <w:tc>
          <w:tcPr>
            <w:tcW w:w="2160" w:type="dxa"/>
          </w:tcPr>
          <w:p w14:paraId="186FAAA9"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Broj događaja; broj prezentacija/panela; broj novih stručnih kontakata</w:t>
            </w:r>
          </w:p>
        </w:tc>
        <w:tc>
          <w:tcPr>
            <w:tcW w:w="1080" w:type="dxa"/>
          </w:tcPr>
          <w:p w14:paraId="0EF2C1D5"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u 2027. godini</w:t>
            </w:r>
          </w:p>
        </w:tc>
        <w:tc>
          <w:tcPr>
            <w:tcW w:w="2104" w:type="dxa"/>
          </w:tcPr>
          <w:p w14:paraId="1202B0D8"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Učešće prema godišnjem planu i prioritetima Strategije</w:t>
            </w:r>
          </w:p>
        </w:tc>
        <w:tc>
          <w:tcPr>
            <w:tcW w:w="1194" w:type="dxa"/>
          </w:tcPr>
          <w:p w14:paraId="0C47053F"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tokom 2027–2031.</w:t>
            </w:r>
          </w:p>
        </w:tc>
        <w:tc>
          <w:tcPr>
            <w:tcW w:w="1535" w:type="dxa"/>
          </w:tcPr>
          <w:p w14:paraId="1BA0ECE6"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Izvještaji; prezentacije; evidencije</w:t>
            </w:r>
          </w:p>
        </w:tc>
        <w:tc>
          <w:tcPr>
            <w:tcW w:w="1478" w:type="dxa"/>
          </w:tcPr>
          <w:p w14:paraId="07ACF113"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Budžet / međunarodni projekti</w:t>
            </w:r>
          </w:p>
        </w:tc>
        <w:tc>
          <w:tcPr>
            <w:tcW w:w="1525" w:type="dxa"/>
          </w:tcPr>
          <w:p w14:paraId="10A91E40"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Ograničena finansijska sredstva</w:t>
            </w:r>
          </w:p>
        </w:tc>
      </w:tr>
      <w:tr w:rsidR="001F77DD" w14:paraId="43A6D494" w14:textId="77777777">
        <w:tc>
          <w:tcPr>
            <w:tcW w:w="22870" w:type="dxa"/>
            <w:gridSpan w:val="12"/>
            <w:vAlign w:val="center"/>
          </w:tcPr>
          <w:p w14:paraId="1695F9EE" w14:textId="77777777" w:rsidR="001F77DD" w:rsidRDefault="00D97F9C">
            <w:pPr>
              <w:spacing w:after="60"/>
              <w:jc w:val="center"/>
              <w:rPr>
                <w:rFonts w:ascii="Times New Roman" w:eastAsia="Times New Roman" w:hAnsi="Times New Roman"/>
                <w:b/>
                <w:sz w:val="24"/>
                <w:szCs w:val="24"/>
              </w:rPr>
            </w:pPr>
            <w:r>
              <w:rPr>
                <w:rFonts w:ascii="Times New Roman" w:eastAsia="Times New Roman" w:hAnsi="Times New Roman"/>
                <w:b/>
                <w:bCs/>
                <w:sz w:val="18"/>
                <w:szCs w:val="24"/>
              </w:rPr>
              <w:lastRenderedPageBreak/>
              <w:t>SC7. Institucionalni kapacitet, kvalitet, integritet i održivo upravljanje</w:t>
            </w:r>
          </w:p>
        </w:tc>
      </w:tr>
      <w:tr w:rsidR="001F77DD" w14:paraId="7235F9FE" w14:textId="77777777">
        <w:tc>
          <w:tcPr>
            <w:tcW w:w="3269" w:type="dxa"/>
            <w:vAlign w:val="center"/>
          </w:tcPr>
          <w:p w14:paraId="670EBCDF"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t>7.1. Razvoj i unapređenje portala otvorenih podataka</w:t>
            </w:r>
          </w:p>
        </w:tc>
        <w:tc>
          <w:tcPr>
            <w:tcW w:w="3694" w:type="dxa"/>
          </w:tcPr>
          <w:p w14:paraId="3B70ACBA"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Unapređenje portala otvorenih podataka radi zakonite, sigurne, ažurne i tehnički dostupne objave podataka iz nadležnosti Agencije; unapređenje korisničkog interfejsa, pretrage, mašinske čitljivosti i sigurnosti.</w:t>
            </w:r>
          </w:p>
        </w:tc>
        <w:tc>
          <w:tcPr>
            <w:tcW w:w="1591" w:type="dxa"/>
          </w:tcPr>
          <w:p w14:paraId="6C9F1CC1"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18"/>
              </w:rPr>
              <w:t>Zakon o slobodi pristupa informacijama na nivou institucija BiH („Službeni glasnik BiH“, broj 61/23), član 14. st. (1)–(3); član 30. st. (1)–(3); član 31. st. (1), (3) i (4), uz ograničenja iz člana 19. i člana 32. stav (6). Zakon o Agenciji, član 11. st. (1) i (2); interni akti</w:t>
            </w:r>
          </w:p>
        </w:tc>
        <w:tc>
          <w:tcPr>
            <w:tcW w:w="1819" w:type="dxa"/>
          </w:tcPr>
          <w:p w14:paraId="2F1F195E"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Objavljivanje podataka koji ispunjavaju pravne, sigurnosne i tehničke uslove</w:t>
            </w:r>
          </w:p>
        </w:tc>
        <w:tc>
          <w:tcPr>
            <w:tcW w:w="1421" w:type="dxa"/>
          </w:tcPr>
          <w:p w14:paraId="571CEB5C"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Kabinet direktora; Tehnički sektor; ostali OOJ</w:t>
            </w:r>
          </w:p>
        </w:tc>
        <w:tc>
          <w:tcPr>
            <w:tcW w:w="2160" w:type="dxa"/>
          </w:tcPr>
          <w:p w14:paraId="0B7E1BD1"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Broj zakonito objavljenih i ažuriranih skupova; % skupova sa definisanom dinamikom ažuriranja; dostupnost portala; mašinska čitljivost; broj privacy/security provjera</w:t>
            </w:r>
          </w:p>
        </w:tc>
        <w:tc>
          <w:tcPr>
            <w:tcW w:w="1080" w:type="dxa"/>
          </w:tcPr>
          <w:p w14:paraId="7FFDC9E8"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početnim mjerenjem u 2027. godini</w:t>
            </w:r>
          </w:p>
        </w:tc>
        <w:tc>
          <w:tcPr>
            <w:tcW w:w="2104" w:type="dxa"/>
          </w:tcPr>
          <w:p w14:paraId="4637D732"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100% objavljenih skupova prethodno provjereno; ≥95% skupova ažurirano prema dinamici</w:t>
            </w:r>
          </w:p>
        </w:tc>
        <w:tc>
          <w:tcPr>
            <w:tcW w:w="1194" w:type="dxa"/>
          </w:tcPr>
          <w:p w14:paraId="67477433"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tokom 2027–2031.</w:t>
            </w:r>
          </w:p>
        </w:tc>
        <w:tc>
          <w:tcPr>
            <w:tcW w:w="1535" w:type="dxa"/>
          </w:tcPr>
          <w:p w14:paraId="3B41BCF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Portal; evidencije objava; privacy/security check-list; monitoring</w:t>
            </w:r>
          </w:p>
        </w:tc>
        <w:tc>
          <w:tcPr>
            <w:tcW w:w="1478" w:type="dxa"/>
          </w:tcPr>
          <w:p w14:paraId="63FB33E8"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24"/>
              </w:rPr>
              <w:t xml:space="preserve">2029: </w:t>
            </w:r>
          </w:p>
          <w:p w14:paraId="31182284"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24"/>
              </w:rPr>
              <w:t>50.000 KM – budžet</w:t>
            </w:r>
          </w:p>
        </w:tc>
        <w:tc>
          <w:tcPr>
            <w:tcW w:w="1525" w:type="dxa"/>
          </w:tcPr>
          <w:p w14:paraId="370345DD"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Neovlaštena objava; objava ličnih podataka; tehnički prekidi</w:t>
            </w:r>
          </w:p>
        </w:tc>
      </w:tr>
      <w:tr w:rsidR="001F77DD" w14:paraId="1BC48960" w14:textId="77777777">
        <w:tc>
          <w:tcPr>
            <w:tcW w:w="3269" w:type="dxa"/>
            <w:vAlign w:val="center"/>
          </w:tcPr>
          <w:p w14:paraId="6508576E"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t>7.2. Informisanje i edukacija korisnika o sigurnom korištenju Sistema IDDEEA</w:t>
            </w:r>
          </w:p>
        </w:tc>
        <w:tc>
          <w:tcPr>
            <w:tcW w:w="3694" w:type="dxa"/>
          </w:tcPr>
          <w:p w14:paraId="0C0F15D1"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Informisanje i edukacija korisnika o sigurnom korištenju Sistema IDDEEA, digitalnog identiteta, elektronskih certifikata, elektronskog potpisa, otvorenih podataka i drugih funkcionalnosti iz djelokruga Agencije.</w:t>
            </w:r>
          </w:p>
        </w:tc>
        <w:tc>
          <w:tcPr>
            <w:tcW w:w="1591" w:type="dxa"/>
          </w:tcPr>
          <w:p w14:paraId="070FBDA4"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18"/>
              </w:rPr>
              <w:t xml:space="preserve">Zakon o Agenciji, član 10, u okviru saradnje s nadležnim organima; Zakon o slobodi pristupa informacijama, član 14. stav (2) tačka j) i stav (3); </w:t>
            </w:r>
          </w:p>
          <w:p w14:paraId="693E5074"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18"/>
              </w:rPr>
              <w:t>Zakon o elektronskom potpisu, član 16. st. (1)–(3)</w:t>
            </w:r>
          </w:p>
          <w:p w14:paraId="39C4BA42" w14:textId="77777777" w:rsidR="001F77DD" w:rsidRDefault="00D97F9C">
            <w:pPr>
              <w:spacing w:after="60"/>
              <w:rPr>
                <w:rFonts w:ascii="Times New Roman" w:eastAsia="Times New Roman" w:hAnsi="Times New Roman"/>
                <w:sz w:val="18"/>
                <w:szCs w:val="18"/>
              </w:rPr>
            </w:pPr>
            <w:r>
              <w:rPr>
                <w:rFonts w:ascii="Times New Roman" w:eastAsia="Times New Roman" w:hAnsi="Times New Roman"/>
                <w:sz w:val="18"/>
                <w:szCs w:val="24"/>
              </w:rPr>
              <w:t>Drugi relevantni propisi i interni akti</w:t>
            </w:r>
          </w:p>
        </w:tc>
        <w:tc>
          <w:tcPr>
            <w:tcW w:w="1819" w:type="dxa"/>
          </w:tcPr>
          <w:p w14:paraId="4B2A4CD1"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Informisanje korisnika o funkcionalnostima i sigurnom korištenju usluga Agencije</w:t>
            </w:r>
          </w:p>
        </w:tc>
        <w:tc>
          <w:tcPr>
            <w:tcW w:w="1421" w:type="dxa"/>
          </w:tcPr>
          <w:p w14:paraId="30D1DBC6"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Nadležni organi; mediji; partneri</w:t>
            </w:r>
          </w:p>
        </w:tc>
        <w:tc>
          <w:tcPr>
            <w:tcW w:w="2160" w:type="dxa"/>
          </w:tcPr>
          <w:p w14:paraId="7DE8F95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Broj informativnih aktivnosti; broj educiranih korisnika; doseg kampanja; rezultati anketa</w:t>
            </w:r>
          </w:p>
        </w:tc>
        <w:tc>
          <w:tcPr>
            <w:tcW w:w="1080" w:type="dxa"/>
          </w:tcPr>
          <w:p w14:paraId="6DB28A92"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početnim mjerenjem u 2027. godini</w:t>
            </w:r>
          </w:p>
        </w:tc>
        <w:tc>
          <w:tcPr>
            <w:tcW w:w="2104" w:type="dxa"/>
          </w:tcPr>
          <w:p w14:paraId="757AE890"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povećanje informisanosti i korištenja relevantnih funkcionalnosti</w:t>
            </w:r>
          </w:p>
        </w:tc>
        <w:tc>
          <w:tcPr>
            <w:tcW w:w="1194" w:type="dxa"/>
          </w:tcPr>
          <w:p w14:paraId="0738E150"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tokom 2027–2031.</w:t>
            </w:r>
          </w:p>
        </w:tc>
        <w:tc>
          <w:tcPr>
            <w:tcW w:w="1535" w:type="dxa"/>
          </w:tcPr>
          <w:p w14:paraId="2C287D6D"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Izvještaji; web analitika; ankete</w:t>
            </w:r>
          </w:p>
        </w:tc>
        <w:tc>
          <w:tcPr>
            <w:tcW w:w="1478" w:type="dxa"/>
          </w:tcPr>
          <w:p w14:paraId="28607D64"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2027–2031: 50.000 KM godišnje – budžet</w:t>
            </w:r>
          </w:p>
        </w:tc>
        <w:tc>
          <w:tcPr>
            <w:tcW w:w="1525" w:type="dxa"/>
          </w:tcPr>
          <w:p w14:paraId="18B7210C"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Nizak odziv korisnika; pogrešno tumačenje funkcionalnosti</w:t>
            </w:r>
          </w:p>
        </w:tc>
      </w:tr>
      <w:tr w:rsidR="001F77DD" w14:paraId="5DD6E457" w14:textId="77777777">
        <w:tc>
          <w:tcPr>
            <w:tcW w:w="3269" w:type="dxa"/>
            <w:vAlign w:val="center"/>
          </w:tcPr>
          <w:p w14:paraId="54DA9C9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t>7.3. Institucionalni i tehnički kapaciteti za podršku elektronskim uslugama nadležnih organa</w:t>
            </w:r>
          </w:p>
        </w:tc>
        <w:tc>
          <w:tcPr>
            <w:tcW w:w="3694" w:type="dxa"/>
          </w:tcPr>
          <w:p w14:paraId="61B61DED"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Razvoj ili unapređenje tehničkih funkcionalnosti IDDEEA-e za identifikaciju, autentifikaciju, elektronsko potpisivanje, pristup i razmjenu podataka koje nadležni organi mogu koristiti u svojim elektronskim uslugama. Materijalna nadležnost za uslugu i postupak ostaje kod nadležnog organa.</w:t>
            </w:r>
          </w:p>
        </w:tc>
        <w:tc>
          <w:tcPr>
            <w:tcW w:w="1591" w:type="dxa"/>
          </w:tcPr>
          <w:p w14:paraId="22A6FB78"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18"/>
              </w:rPr>
              <w:t xml:space="preserve">Zakon o Agenciji, član 8. stav (1) tač. d), e), f) i g), stav (6) za potpisivanje; član 9. st. (1)–(3); Uputstvo o tehničkim i operativnim pravilima pristupa sistemima Agencije za identifikacione dokumente, evidenciju i razmjenu podataka Bosne i Hercegovine („Službeni glasnik BiH“, broj 31/25), član 2. tač. a), h) i j); član 3. i član 6. st. (1)–(5); </w:t>
            </w:r>
            <w:r>
              <w:rPr>
                <w:rFonts w:ascii="Times New Roman" w:eastAsia="Times New Roman" w:hAnsi="Times New Roman"/>
                <w:sz w:val="18"/>
                <w:szCs w:val="24"/>
              </w:rPr>
              <w:t>sektorski propisi nadležnih organa</w:t>
            </w:r>
          </w:p>
        </w:tc>
        <w:tc>
          <w:tcPr>
            <w:tcW w:w="1819" w:type="dxa"/>
          </w:tcPr>
          <w:p w14:paraId="7B09F36C"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Tehnička podrška elektronskim uslugama u dijelu funkcionalnosti Sistema IDDEEA</w:t>
            </w:r>
          </w:p>
        </w:tc>
        <w:tc>
          <w:tcPr>
            <w:tcW w:w="1421" w:type="dxa"/>
          </w:tcPr>
          <w:p w14:paraId="47CC655A"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Nadležni organi</w:t>
            </w:r>
          </w:p>
        </w:tc>
        <w:tc>
          <w:tcPr>
            <w:tcW w:w="2160" w:type="dxa"/>
          </w:tcPr>
          <w:p w14:paraId="075915ED"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Broj tehničkih funkcionalnosti; broj integrisanih e-usluga; dostupnost servisa; vrijeme obrade tehničkih zahtjeva</w:t>
            </w:r>
          </w:p>
        </w:tc>
        <w:tc>
          <w:tcPr>
            <w:tcW w:w="1080" w:type="dxa"/>
          </w:tcPr>
          <w:p w14:paraId="7FAACB9B"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početnim mjerenjem u 2027. godini</w:t>
            </w:r>
          </w:p>
        </w:tc>
        <w:tc>
          <w:tcPr>
            <w:tcW w:w="2104" w:type="dxa"/>
          </w:tcPr>
          <w:p w14:paraId="56520772"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Realizacija prioritetnih tehničkih unapređenja prema usvojenom planu; ≥99,9% dostupnost kritičnih servisa</w:t>
            </w:r>
          </w:p>
        </w:tc>
        <w:tc>
          <w:tcPr>
            <w:tcW w:w="1194" w:type="dxa"/>
          </w:tcPr>
          <w:p w14:paraId="23F49049"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18 mjeseci od usvajanja Strategije, potom kontinuirano do kraja 2031.</w:t>
            </w:r>
          </w:p>
        </w:tc>
        <w:tc>
          <w:tcPr>
            <w:tcW w:w="1535" w:type="dxa"/>
          </w:tcPr>
          <w:p w14:paraId="784FFB43"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Tehnička dokumentacija; SLA; sistemski logovi; zapisnici o testiranju</w:t>
            </w:r>
          </w:p>
        </w:tc>
        <w:tc>
          <w:tcPr>
            <w:tcW w:w="1478" w:type="dxa"/>
          </w:tcPr>
          <w:p w14:paraId="2F6722C4"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Nisu potrebna dodatna sredstva / prema konkretnom projektu</w:t>
            </w:r>
          </w:p>
        </w:tc>
        <w:tc>
          <w:tcPr>
            <w:tcW w:w="1525" w:type="dxa"/>
          </w:tcPr>
          <w:p w14:paraId="22AD828F"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Nejasna podjela nadležnosti; neusklađenost sistema</w:t>
            </w:r>
          </w:p>
        </w:tc>
      </w:tr>
      <w:tr w:rsidR="001F77DD" w14:paraId="1802CDDA" w14:textId="77777777">
        <w:tc>
          <w:tcPr>
            <w:tcW w:w="3269" w:type="dxa"/>
            <w:vAlign w:val="center"/>
          </w:tcPr>
          <w:p w14:paraId="5D5E1F90"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t>7.4. Izgradnja smještajnih kapaciteta</w:t>
            </w:r>
          </w:p>
        </w:tc>
        <w:tc>
          <w:tcPr>
            <w:tcW w:w="3694" w:type="dxa"/>
          </w:tcPr>
          <w:p w14:paraId="7EEDC64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Izgradnja objekta za smještaj sjedišta i organizacionih jedinica, uz ažuriranje projektne, finansijske i druge relevantne dokumentacije i odluka.</w:t>
            </w:r>
          </w:p>
        </w:tc>
        <w:tc>
          <w:tcPr>
            <w:tcW w:w="1591" w:type="dxa"/>
          </w:tcPr>
          <w:p w14:paraId="02DC9260"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Propisi o javnim nabavkama; građevinski propisi; relevantne odluke</w:t>
            </w:r>
          </w:p>
        </w:tc>
        <w:tc>
          <w:tcPr>
            <w:tcW w:w="1819" w:type="dxa"/>
          </w:tcPr>
          <w:p w14:paraId="62E814A9"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Obezbjeđenje odgovarajućih prostornih kapaciteta za izvršavanje funkcija Agencije</w:t>
            </w:r>
          </w:p>
        </w:tc>
        <w:tc>
          <w:tcPr>
            <w:tcW w:w="1421" w:type="dxa"/>
          </w:tcPr>
          <w:p w14:paraId="7C6D828A"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Sektor za finansijske i pravne poslove; izvođač; nadzorni organ; projekt menadžer</w:t>
            </w:r>
          </w:p>
        </w:tc>
        <w:tc>
          <w:tcPr>
            <w:tcW w:w="2160" w:type="dxa"/>
          </w:tcPr>
          <w:p w14:paraId="1035F59A"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 realizacije projekta; faze izgradnje; završetak i stavljanje objekta u funkciju</w:t>
            </w:r>
          </w:p>
        </w:tc>
        <w:tc>
          <w:tcPr>
            <w:tcW w:w="1080" w:type="dxa"/>
          </w:tcPr>
          <w:p w14:paraId="011BC607"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aktuelno stanje projekta u 2027. godini</w:t>
            </w:r>
          </w:p>
        </w:tc>
        <w:tc>
          <w:tcPr>
            <w:tcW w:w="2104" w:type="dxa"/>
          </w:tcPr>
          <w:p w14:paraId="2188AD0C"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Objekat završen i stavljen u funkciju</w:t>
            </w:r>
          </w:p>
        </w:tc>
        <w:tc>
          <w:tcPr>
            <w:tcW w:w="1194" w:type="dxa"/>
          </w:tcPr>
          <w:p w14:paraId="1363692C"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Prema ažuriranom planu projekta za period 2027–2031.</w:t>
            </w:r>
          </w:p>
        </w:tc>
        <w:tc>
          <w:tcPr>
            <w:tcW w:w="1535" w:type="dxa"/>
          </w:tcPr>
          <w:p w14:paraId="67C68AB8"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Ugovori; građevinski dnevnik; tehnički prijem; projektna dokumentacija</w:t>
            </w:r>
          </w:p>
        </w:tc>
        <w:tc>
          <w:tcPr>
            <w:tcW w:w="1478" w:type="dxa"/>
          </w:tcPr>
          <w:p w14:paraId="46C4B336"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Ažurirati vrijednost i rok nakon provjere projekta</w:t>
            </w:r>
          </w:p>
        </w:tc>
        <w:tc>
          <w:tcPr>
            <w:tcW w:w="1525" w:type="dxa"/>
          </w:tcPr>
          <w:p w14:paraId="031BF23E"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Rast troškova; kašnjenje; promjena projektnih uslova</w:t>
            </w:r>
          </w:p>
        </w:tc>
      </w:tr>
      <w:tr w:rsidR="001F77DD" w14:paraId="3E9FDB6B" w14:textId="77777777">
        <w:tc>
          <w:tcPr>
            <w:tcW w:w="3269" w:type="dxa"/>
            <w:vAlign w:val="center"/>
          </w:tcPr>
          <w:p w14:paraId="54AFACD0"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bCs/>
                <w:sz w:val="18"/>
                <w:szCs w:val="24"/>
              </w:rPr>
              <w:lastRenderedPageBreak/>
              <w:t>7.5. Razvoj ljudskih kapaciteta Agencije</w:t>
            </w:r>
          </w:p>
        </w:tc>
        <w:tc>
          <w:tcPr>
            <w:tcW w:w="3694" w:type="dxa"/>
          </w:tcPr>
          <w:p w14:paraId="7285940E"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Sistematski razvoj znanja, vještina i kompetencija; mapiranje kompetencija prema radnim mjestima; identifikacija nedostataka; programi obuke; mentorstvo; monitoring efekata obuke; planiranje nasljeđivanja (succession planning) za kritične IT, PKI, cyber, DB i mrežne pozicije.</w:t>
            </w:r>
          </w:p>
        </w:tc>
        <w:tc>
          <w:tcPr>
            <w:tcW w:w="1591" w:type="dxa"/>
          </w:tcPr>
          <w:p w14:paraId="098DDDE4"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Propisi o radu/državnoj službi; interni akti Agencije</w:t>
            </w:r>
          </w:p>
        </w:tc>
        <w:tc>
          <w:tcPr>
            <w:tcW w:w="1819" w:type="dxa"/>
          </w:tcPr>
          <w:p w14:paraId="22863099"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Obezbjeđenje stručnih, održivih i odgovarajuće raspoređenih kadrovskih kapaciteta</w:t>
            </w:r>
          </w:p>
        </w:tc>
        <w:tc>
          <w:tcPr>
            <w:tcW w:w="1421" w:type="dxa"/>
          </w:tcPr>
          <w:p w14:paraId="11031CF9"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Svi OOJ; eksterni pružaoci obuka</w:t>
            </w:r>
          </w:p>
        </w:tc>
        <w:tc>
          <w:tcPr>
            <w:tcW w:w="2160" w:type="dxa"/>
          </w:tcPr>
          <w:p w14:paraId="3F7B498F"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 mapiranih kompetencija; broj identificiranih nedostataka; broj realizovanih obuka; % zaposlenih obuhvaćenih obukom; % kritičnih pozicija sa succession planom</w:t>
            </w:r>
          </w:p>
        </w:tc>
        <w:tc>
          <w:tcPr>
            <w:tcW w:w="1080" w:type="dxa"/>
          </w:tcPr>
          <w:p w14:paraId="77C1C943"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Utvrditi početnim mjerenjem u 2027. godini</w:t>
            </w:r>
          </w:p>
        </w:tc>
        <w:tc>
          <w:tcPr>
            <w:tcW w:w="2104" w:type="dxa"/>
          </w:tcPr>
          <w:p w14:paraId="60531922"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100% kompetencija mapirano; 100% kritičnih IT/PKI/cyber/DB/mrežnih pozicija obuhvaćeno succession planningom; ≥90% zaposlenih godišnje obuhvaćeno relevantnim obukama</w:t>
            </w:r>
          </w:p>
        </w:tc>
        <w:tc>
          <w:tcPr>
            <w:tcW w:w="1194" w:type="dxa"/>
          </w:tcPr>
          <w:p w14:paraId="6EF808B0"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Kontinuirano tokom 2027–2031.</w:t>
            </w:r>
          </w:p>
        </w:tc>
        <w:tc>
          <w:tcPr>
            <w:tcW w:w="1535" w:type="dxa"/>
          </w:tcPr>
          <w:p w14:paraId="3C7231E3"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Matrica kompetencija; planovi obuke; izvještaji; akti o sistematizaciji</w:t>
            </w:r>
          </w:p>
        </w:tc>
        <w:tc>
          <w:tcPr>
            <w:tcW w:w="1478" w:type="dxa"/>
          </w:tcPr>
          <w:p w14:paraId="03F0A550"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Nisu potrebna dodatna sredstva / postojeća sredstva</w:t>
            </w:r>
          </w:p>
        </w:tc>
        <w:tc>
          <w:tcPr>
            <w:tcW w:w="1525" w:type="dxa"/>
          </w:tcPr>
          <w:p w14:paraId="4202AB5B" w14:textId="77777777" w:rsidR="001F77DD" w:rsidRDefault="00D97F9C">
            <w:pPr>
              <w:spacing w:after="60"/>
              <w:rPr>
                <w:rFonts w:ascii="Times New Roman" w:eastAsia="Times New Roman" w:hAnsi="Times New Roman"/>
                <w:sz w:val="24"/>
                <w:szCs w:val="24"/>
              </w:rPr>
            </w:pPr>
            <w:r>
              <w:rPr>
                <w:rFonts w:ascii="Times New Roman" w:eastAsia="Times New Roman" w:hAnsi="Times New Roman"/>
                <w:sz w:val="18"/>
                <w:szCs w:val="24"/>
              </w:rPr>
              <w:t>Odliv stručnog kadra; nedostatak specijalista; ograničeni kapaciteti obuke</w:t>
            </w:r>
          </w:p>
        </w:tc>
      </w:tr>
    </w:tbl>
    <w:p w14:paraId="412673E7" w14:textId="77777777" w:rsidR="001F77DD" w:rsidRDefault="001F77DD"/>
    <w:p w14:paraId="46C1DBBB" w14:textId="4C572BF6" w:rsidR="001F77DD" w:rsidRDefault="001F77DD">
      <w:pPr>
        <w:rPr>
          <w:rFonts w:ascii="Arial" w:eastAsia="Calibri" w:hAnsi="Arial" w:cs="Arial"/>
          <w:bCs/>
          <w:iCs/>
          <w:sz w:val="18"/>
          <w:szCs w:val="18"/>
          <w:lang w:val="sr-Latn-BA"/>
        </w:rPr>
      </w:pPr>
    </w:p>
    <w:p w14:paraId="16176F56" w14:textId="77777777" w:rsidR="001F77DD" w:rsidRDefault="001F77DD">
      <w:pPr>
        <w:spacing w:after="0" w:line="240" w:lineRule="auto"/>
        <w:jc w:val="both"/>
        <w:rPr>
          <w:rFonts w:ascii="Arial" w:eastAsia="Calibri" w:hAnsi="Arial" w:cs="Arial"/>
          <w:bCs/>
          <w:iCs/>
          <w:sz w:val="18"/>
          <w:szCs w:val="18"/>
          <w:lang w:val="sr-Latn-BA"/>
        </w:rPr>
        <w:sectPr w:rsidR="001F77DD">
          <w:pgSz w:w="23814" w:h="16840" w:orient="landscape"/>
          <w:pgMar w:top="567" w:right="567" w:bottom="567" w:left="567" w:header="709" w:footer="709" w:gutter="0"/>
          <w:cols w:space="708"/>
        </w:sectPr>
      </w:pPr>
    </w:p>
    <w:p w14:paraId="1C1702AC" w14:textId="392C77C5" w:rsidR="001F77DD" w:rsidRDefault="00D97F9C">
      <w:pPr>
        <w:keepNext/>
        <w:numPr>
          <w:ilvl w:val="0"/>
          <w:numId w:val="10"/>
        </w:numPr>
        <w:spacing w:before="240" w:after="60" w:line="360" w:lineRule="auto"/>
        <w:jc w:val="both"/>
        <w:outlineLvl w:val="0"/>
        <w:rPr>
          <w:rFonts w:ascii="Arial" w:eastAsia="Times New Roman" w:hAnsi="Arial" w:cs="Arial"/>
          <w:sz w:val="20"/>
          <w:szCs w:val="20"/>
          <w:lang w:val="sr-Latn-BA"/>
        </w:rPr>
      </w:pPr>
      <w:bookmarkStart w:id="29" w:name="_Toc213758732"/>
      <w:r>
        <w:rPr>
          <w:rFonts w:ascii="Arial" w:eastAsia="Times New Roman" w:hAnsi="Arial" w:cs="Arial"/>
          <w:b/>
          <w:sz w:val="20"/>
          <w:szCs w:val="20"/>
          <w:lang w:val="sr-Latn-BA"/>
        </w:rPr>
        <w:lastRenderedPageBreak/>
        <w:t>Finans</w:t>
      </w:r>
      <w:bookmarkEnd w:id="29"/>
      <w:r>
        <w:rPr>
          <w:rFonts w:ascii="Arial" w:eastAsia="Times New Roman" w:hAnsi="Arial" w:cs="Arial"/>
          <w:b/>
          <w:sz w:val="20"/>
          <w:szCs w:val="20"/>
          <w:lang w:val="sr-Latn-BA"/>
        </w:rPr>
        <w:t>ijski okvir</w:t>
      </w:r>
    </w:p>
    <w:p w14:paraId="6CEDD4E8" w14:textId="77777777" w:rsidR="001F77DD" w:rsidRDefault="00D97F9C">
      <w:pPr>
        <w:spacing w:after="0" w:line="360" w:lineRule="auto"/>
        <w:ind w:left="283"/>
        <w:contextualSpacing/>
        <w:jc w:val="both"/>
        <w:rPr>
          <w:rFonts w:ascii="Arial" w:eastAsia="Times New Roman" w:hAnsi="Arial" w:cs="Arial"/>
          <w:sz w:val="20"/>
          <w:szCs w:val="20"/>
          <w:lang w:val="sr-Latn-BA"/>
        </w:rPr>
      </w:pPr>
      <w:r>
        <w:rPr>
          <w:rFonts w:ascii="Arial" w:eastAsia="Times New Roman" w:hAnsi="Arial" w:cs="Arial"/>
          <w:sz w:val="20"/>
          <w:szCs w:val="20"/>
          <w:lang w:val="sr-Latn-BA"/>
        </w:rPr>
        <w:t xml:space="preserve"> Realizacija Strategije finansirat će se iz sredstava budžeta institucija Bosne i Hercegovine odobrenih u skladu sa važećim propisima, sredstava višegodišnjih kapitalnih projekata, međunarodnih grantova i drugih zakonom dopuštenih izvora.</w:t>
      </w:r>
    </w:p>
    <w:p w14:paraId="7B0DBDD7" w14:textId="77777777" w:rsidR="001F77DD" w:rsidRDefault="00D97F9C">
      <w:pPr>
        <w:spacing w:after="0" w:line="360" w:lineRule="auto"/>
        <w:ind w:left="360"/>
        <w:contextualSpacing/>
        <w:jc w:val="both"/>
        <w:rPr>
          <w:rFonts w:ascii="Arial" w:eastAsia="Times New Roman" w:hAnsi="Arial" w:cs="Arial"/>
          <w:sz w:val="20"/>
          <w:szCs w:val="20"/>
          <w:lang w:val="sr-Latn-BA"/>
        </w:rPr>
      </w:pPr>
      <w:r>
        <w:rPr>
          <w:rFonts w:ascii="Arial" w:eastAsia="Times New Roman" w:hAnsi="Arial" w:cs="Arial"/>
          <w:sz w:val="20"/>
          <w:szCs w:val="20"/>
          <w:lang w:val="sr-Latn-BA"/>
        </w:rPr>
        <w:t>Finansijske potrebe u Akcionom planu razvrstavaju se u tri kategorije:</w:t>
      </w:r>
    </w:p>
    <w:p w14:paraId="5938E128" w14:textId="77777777" w:rsidR="001F77DD" w:rsidRDefault="00D97F9C">
      <w:pPr>
        <w:spacing w:after="0" w:line="360" w:lineRule="auto"/>
        <w:ind w:left="360"/>
        <w:contextualSpacing/>
        <w:jc w:val="both"/>
        <w:rPr>
          <w:rFonts w:ascii="Arial" w:eastAsia="Times New Roman" w:hAnsi="Arial" w:cs="Arial"/>
          <w:sz w:val="20"/>
          <w:szCs w:val="20"/>
          <w:lang w:val="sr-Latn-BA"/>
        </w:rPr>
      </w:pPr>
      <w:r>
        <w:rPr>
          <w:rFonts w:ascii="Arial" w:eastAsia="Times New Roman" w:hAnsi="Arial" w:cs="Arial"/>
          <w:sz w:val="20"/>
          <w:szCs w:val="20"/>
          <w:lang w:val="sr-Latn-BA"/>
        </w:rPr>
        <w:t>A – sredstva odobrena ili osigurana;</w:t>
      </w:r>
    </w:p>
    <w:p w14:paraId="7622A5B4" w14:textId="77777777" w:rsidR="001F77DD" w:rsidRDefault="00D97F9C">
      <w:pPr>
        <w:spacing w:after="0" w:line="360" w:lineRule="auto"/>
        <w:ind w:left="360"/>
        <w:contextualSpacing/>
        <w:jc w:val="both"/>
        <w:rPr>
          <w:rFonts w:ascii="Arial" w:eastAsia="Times New Roman" w:hAnsi="Arial" w:cs="Arial"/>
          <w:sz w:val="20"/>
          <w:szCs w:val="20"/>
          <w:lang w:val="sr-Latn-BA"/>
        </w:rPr>
      </w:pPr>
      <w:r>
        <w:rPr>
          <w:rFonts w:ascii="Arial" w:eastAsia="Times New Roman" w:hAnsi="Arial" w:cs="Arial"/>
          <w:sz w:val="20"/>
          <w:szCs w:val="20"/>
          <w:lang w:val="sr-Latn-BA"/>
        </w:rPr>
        <w:t>B – sredstva planirana kroz DOB ili godišnji budžetski proces;</w:t>
      </w:r>
    </w:p>
    <w:p w14:paraId="2A3BD2FE" w14:textId="77777777" w:rsidR="001F77DD" w:rsidRDefault="00D97F9C">
      <w:pPr>
        <w:spacing w:after="0" w:line="360" w:lineRule="auto"/>
        <w:ind w:left="360"/>
        <w:contextualSpacing/>
        <w:jc w:val="both"/>
        <w:rPr>
          <w:rFonts w:ascii="Arial" w:eastAsia="Times New Roman" w:hAnsi="Arial" w:cs="Arial"/>
          <w:sz w:val="20"/>
          <w:szCs w:val="20"/>
          <w:lang w:val="sr-Latn-BA"/>
        </w:rPr>
      </w:pPr>
      <w:r>
        <w:rPr>
          <w:rFonts w:ascii="Arial" w:eastAsia="Times New Roman" w:hAnsi="Arial" w:cs="Arial"/>
          <w:sz w:val="20"/>
          <w:szCs w:val="20"/>
          <w:lang w:val="sr-Latn-BA"/>
        </w:rPr>
        <w:t>C – sredstva čije je osiguranje uslovljeno odobrenjem projekta, grantom, donacijom ili drugom budućom odlukom.</w:t>
      </w:r>
    </w:p>
    <w:p w14:paraId="541A23A1" w14:textId="77777777" w:rsidR="001F77DD" w:rsidRDefault="00D97F9C">
      <w:pPr>
        <w:spacing w:after="0" w:line="360" w:lineRule="auto"/>
        <w:ind w:left="360"/>
        <w:contextualSpacing/>
        <w:jc w:val="both"/>
        <w:rPr>
          <w:rFonts w:ascii="Arial" w:eastAsia="Times New Roman" w:hAnsi="Arial" w:cs="Arial"/>
          <w:sz w:val="20"/>
          <w:szCs w:val="20"/>
          <w:lang w:val="sr-Latn-BA"/>
        </w:rPr>
      </w:pPr>
      <w:r>
        <w:rPr>
          <w:rFonts w:ascii="Arial" w:eastAsia="Times New Roman" w:hAnsi="Arial" w:cs="Arial"/>
          <w:sz w:val="20"/>
          <w:szCs w:val="20"/>
          <w:lang w:val="sr-Latn-BA"/>
        </w:rPr>
        <w:t>Usvajanje Strategije samo po sebi ne predstavlja odobrenje pojedinačnog rashoda niti stvara finansijsku obavezu izvan sredstava odobrenih u skladu sa propisima kojima se uređuje finansiranje institucija Bosne i Hercegovine.</w:t>
      </w:r>
    </w:p>
    <w:p w14:paraId="383EA3EF" w14:textId="40EAB27E" w:rsidR="001F77DD" w:rsidRDefault="00D97F9C">
      <w:pPr>
        <w:spacing w:after="0" w:line="360" w:lineRule="auto"/>
        <w:ind w:left="360"/>
        <w:contextualSpacing/>
        <w:jc w:val="both"/>
        <w:rPr>
          <w:rFonts w:ascii="Arial" w:eastAsia="Times New Roman" w:hAnsi="Arial" w:cs="Arial"/>
          <w:sz w:val="20"/>
          <w:szCs w:val="20"/>
          <w:lang w:val="sr-Latn-BA"/>
        </w:rPr>
      </w:pPr>
      <w:r>
        <w:rPr>
          <w:rFonts w:ascii="Arial" w:eastAsia="Times New Roman" w:hAnsi="Arial" w:cs="Arial"/>
          <w:sz w:val="20"/>
          <w:szCs w:val="20"/>
          <w:lang w:val="sr-Latn-BA"/>
        </w:rPr>
        <w:t>Aktivnosti za koje sredstva nisu osigurana realizovat će se nakon osiguranja odgovarajućeg izvora finansiranja i ispunjenja drugih propisanih pretpostavki.</w:t>
      </w:r>
    </w:p>
    <w:p w14:paraId="06CE5342" w14:textId="77777777" w:rsidR="001F77DD" w:rsidRDefault="001F77DD">
      <w:pPr>
        <w:spacing w:after="0" w:line="360" w:lineRule="auto"/>
        <w:ind w:left="360"/>
        <w:contextualSpacing/>
        <w:jc w:val="both"/>
        <w:rPr>
          <w:rFonts w:ascii="Arial" w:eastAsia="Times New Roman" w:hAnsi="Arial" w:cs="Arial"/>
          <w:sz w:val="20"/>
          <w:szCs w:val="20"/>
          <w:lang w:val="sr-Latn-BA"/>
        </w:rPr>
      </w:pPr>
    </w:p>
    <w:p w14:paraId="5623DFB7" w14:textId="77777777" w:rsidR="001F77DD" w:rsidRDefault="00D97F9C">
      <w:pPr>
        <w:spacing w:after="0" w:line="360" w:lineRule="auto"/>
        <w:ind w:left="360"/>
        <w:contextualSpacing/>
        <w:jc w:val="both"/>
        <w:rPr>
          <w:rFonts w:ascii="Arial" w:eastAsia="Times New Roman" w:hAnsi="Arial" w:cs="Arial"/>
          <w:sz w:val="20"/>
          <w:szCs w:val="20"/>
          <w:lang w:val="sr-Latn-BA"/>
        </w:rPr>
      </w:pPr>
      <w:r>
        <w:rPr>
          <w:rFonts w:ascii="Arial" w:eastAsia="Times New Roman" w:hAnsi="Arial" w:cs="Arial"/>
          <w:sz w:val="20"/>
          <w:szCs w:val="20"/>
          <w:lang w:val="sr-Latn-BA"/>
        </w:rPr>
        <w:t>Za realizaciju strateških ciljeva koji su prikazani kroz Akcioni plan neophodna su sljedeća sredstva po godinama i izvorima:</w:t>
      </w:r>
    </w:p>
    <w:p w14:paraId="2996FAF1" w14:textId="77777777" w:rsidR="001F77DD" w:rsidRDefault="001F77DD">
      <w:pPr>
        <w:spacing w:after="0" w:line="360" w:lineRule="auto"/>
        <w:ind w:left="360"/>
        <w:contextualSpacing/>
        <w:jc w:val="both"/>
        <w:rPr>
          <w:rFonts w:ascii="Arial" w:eastAsia="Times New Roman" w:hAnsi="Arial" w:cs="Arial"/>
          <w:sz w:val="20"/>
          <w:szCs w:val="20"/>
        </w:rPr>
      </w:pPr>
    </w:p>
    <w:p w14:paraId="2025B04B" w14:textId="7679FE2A" w:rsidR="001F77DD" w:rsidRDefault="00D97F9C">
      <w:pPr>
        <w:spacing w:after="0" w:line="360" w:lineRule="auto"/>
        <w:ind w:left="360"/>
        <w:contextualSpacing/>
        <w:jc w:val="both"/>
        <w:rPr>
          <w:rFonts w:ascii="Arial" w:eastAsia="Times New Roman" w:hAnsi="Arial" w:cs="Arial"/>
          <w:sz w:val="20"/>
          <w:szCs w:val="20"/>
        </w:rPr>
      </w:pPr>
      <w:r>
        <w:rPr>
          <w:rFonts w:ascii="Arial" w:eastAsia="Times New Roman" w:hAnsi="Arial" w:cs="Arial"/>
          <w:sz w:val="20"/>
          <w:szCs w:val="20"/>
        </w:rPr>
        <w:t xml:space="preserve">2027. godine sredstva u iznosu od 2.274.000 KM </w:t>
      </w:r>
      <w:r>
        <w:rPr>
          <w:rFonts w:ascii="Arial" w:eastAsia="Times New Roman" w:hAnsi="Arial" w:cs="Arial"/>
          <w:sz w:val="20"/>
          <w:szCs w:val="20"/>
          <w:lang w:val="sr-Latn-BA"/>
        </w:rPr>
        <w:t>su sredstva predviđena budžetom institucija;</w:t>
      </w:r>
    </w:p>
    <w:p w14:paraId="3872DFB9" w14:textId="77777777" w:rsidR="001F77DD" w:rsidRDefault="001F77DD">
      <w:pPr>
        <w:spacing w:after="0" w:line="360" w:lineRule="auto"/>
        <w:ind w:left="360"/>
        <w:contextualSpacing/>
        <w:jc w:val="both"/>
        <w:rPr>
          <w:rFonts w:ascii="Arial" w:eastAsia="Times New Roman" w:hAnsi="Arial" w:cs="Arial"/>
          <w:b/>
          <w:sz w:val="20"/>
          <w:szCs w:val="20"/>
          <w:u w:val="single"/>
          <w:lang w:val="sr-Latn-BA"/>
        </w:rPr>
      </w:pPr>
    </w:p>
    <w:p w14:paraId="3155110B" w14:textId="34DF819A" w:rsidR="001F77DD" w:rsidRDefault="00D97F9C">
      <w:pPr>
        <w:spacing w:after="0" w:line="360" w:lineRule="auto"/>
        <w:ind w:left="360"/>
        <w:contextualSpacing/>
        <w:jc w:val="both"/>
        <w:rPr>
          <w:rFonts w:ascii="Arial" w:eastAsia="Times New Roman" w:hAnsi="Arial" w:cs="Arial"/>
          <w:sz w:val="20"/>
          <w:szCs w:val="20"/>
          <w:lang w:val="sr-Latn-BA"/>
        </w:rPr>
      </w:pPr>
      <w:r>
        <w:rPr>
          <w:rFonts w:ascii="Arial" w:eastAsia="Times New Roman" w:hAnsi="Arial" w:cs="Arial"/>
          <w:sz w:val="20"/>
          <w:szCs w:val="20"/>
          <w:lang w:val="sr-Latn-BA"/>
        </w:rPr>
        <w:t>2028. godine sredstva u iznosu od 1.715.000 KM su sredstva predviđena budžetom institucija;</w:t>
      </w:r>
    </w:p>
    <w:p w14:paraId="277BAB90" w14:textId="77777777" w:rsidR="001F77DD" w:rsidRDefault="001F77DD">
      <w:pPr>
        <w:spacing w:after="0" w:line="360" w:lineRule="auto"/>
        <w:ind w:left="360"/>
        <w:contextualSpacing/>
        <w:jc w:val="both"/>
        <w:rPr>
          <w:rFonts w:ascii="Arial" w:eastAsia="Times New Roman" w:hAnsi="Arial" w:cs="Arial"/>
          <w:sz w:val="20"/>
          <w:szCs w:val="20"/>
          <w:lang w:val="sr-Latn-BA"/>
        </w:rPr>
      </w:pPr>
    </w:p>
    <w:p w14:paraId="4E71819D" w14:textId="0A9CE054" w:rsidR="001F77DD" w:rsidRDefault="00D97F9C">
      <w:pPr>
        <w:spacing w:after="0" w:line="360" w:lineRule="auto"/>
        <w:ind w:left="360"/>
        <w:contextualSpacing/>
        <w:jc w:val="both"/>
        <w:rPr>
          <w:rFonts w:ascii="Arial" w:eastAsia="Times New Roman" w:hAnsi="Arial" w:cs="Arial"/>
          <w:sz w:val="20"/>
          <w:szCs w:val="20"/>
          <w:lang w:val="sr-Latn-BA"/>
        </w:rPr>
      </w:pPr>
      <w:r>
        <w:rPr>
          <w:rFonts w:ascii="Arial" w:eastAsia="Times New Roman" w:hAnsi="Arial" w:cs="Arial"/>
          <w:sz w:val="20"/>
          <w:szCs w:val="20"/>
          <w:lang w:val="sr-Latn-BA"/>
        </w:rPr>
        <w:t>2029. godine sredstva u iznosu od 1.892.000 KM su sredstva predviđena budžetom institucija;</w:t>
      </w:r>
    </w:p>
    <w:p w14:paraId="738636C1" w14:textId="77777777" w:rsidR="001F77DD" w:rsidRDefault="001F77DD">
      <w:pPr>
        <w:spacing w:after="0" w:line="360" w:lineRule="auto"/>
        <w:ind w:left="360"/>
        <w:contextualSpacing/>
        <w:jc w:val="both"/>
        <w:rPr>
          <w:rFonts w:ascii="Arial" w:eastAsia="Times New Roman" w:hAnsi="Arial" w:cs="Arial"/>
          <w:sz w:val="20"/>
          <w:szCs w:val="20"/>
          <w:lang w:val="sr-Latn-BA"/>
        </w:rPr>
      </w:pPr>
    </w:p>
    <w:p w14:paraId="21234496" w14:textId="00C4C6D6" w:rsidR="001F77DD" w:rsidRDefault="00D97F9C">
      <w:pPr>
        <w:spacing w:after="0" w:line="360" w:lineRule="auto"/>
        <w:ind w:left="360"/>
        <w:contextualSpacing/>
        <w:jc w:val="both"/>
        <w:rPr>
          <w:rFonts w:ascii="Arial" w:eastAsia="Times New Roman" w:hAnsi="Arial" w:cs="Arial"/>
          <w:sz w:val="20"/>
          <w:szCs w:val="20"/>
          <w:lang w:val="sr-Latn-BA"/>
        </w:rPr>
      </w:pPr>
      <w:r>
        <w:rPr>
          <w:rFonts w:ascii="Arial" w:eastAsia="Times New Roman" w:hAnsi="Arial" w:cs="Arial"/>
          <w:sz w:val="20"/>
          <w:szCs w:val="20"/>
          <w:lang w:val="sr-Latn-BA"/>
        </w:rPr>
        <w:t>2030. godine sredstva u iznosu od 4.299.500 KM su sredstrva predviđena budžetom institucija;</w:t>
      </w:r>
    </w:p>
    <w:p w14:paraId="1662CC48" w14:textId="77777777" w:rsidR="001F77DD" w:rsidRDefault="001F77DD">
      <w:pPr>
        <w:spacing w:after="0" w:line="360" w:lineRule="auto"/>
        <w:ind w:left="360"/>
        <w:contextualSpacing/>
        <w:jc w:val="both"/>
        <w:rPr>
          <w:rFonts w:ascii="Arial" w:eastAsia="Times New Roman" w:hAnsi="Arial" w:cs="Arial"/>
          <w:sz w:val="20"/>
          <w:szCs w:val="20"/>
          <w:lang w:val="sr-Latn-BA"/>
        </w:rPr>
      </w:pPr>
    </w:p>
    <w:p w14:paraId="7EEF7854" w14:textId="3CA130A4" w:rsidR="001F77DD" w:rsidRDefault="00D97F9C">
      <w:pPr>
        <w:spacing w:after="0" w:line="360" w:lineRule="auto"/>
        <w:ind w:left="360"/>
        <w:contextualSpacing/>
        <w:jc w:val="both"/>
        <w:rPr>
          <w:rFonts w:ascii="Arial" w:eastAsia="Times New Roman" w:hAnsi="Arial" w:cs="Arial"/>
          <w:sz w:val="20"/>
          <w:szCs w:val="20"/>
          <w:lang w:val="sr-Latn-BA"/>
        </w:rPr>
      </w:pPr>
      <w:r>
        <w:rPr>
          <w:rFonts w:ascii="Arial" w:eastAsia="Times New Roman" w:hAnsi="Arial" w:cs="Arial"/>
          <w:sz w:val="20"/>
          <w:szCs w:val="20"/>
          <w:lang w:val="sr-Latn-BA"/>
        </w:rPr>
        <w:t>2031. godine sredstva u iznosu od 1.700.000 KM su sredstva predviđena budžetom institucija.</w:t>
      </w:r>
    </w:p>
    <w:p w14:paraId="044548C7" w14:textId="77777777" w:rsidR="001F77DD" w:rsidRDefault="001F77DD">
      <w:pPr>
        <w:spacing w:after="0" w:line="360" w:lineRule="auto"/>
        <w:ind w:left="360"/>
        <w:contextualSpacing/>
        <w:jc w:val="both"/>
        <w:rPr>
          <w:rFonts w:ascii="Arial" w:eastAsia="Times New Roman" w:hAnsi="Arial" w:cs="Arial"/>
          <w:sz w:val="20"/>
          <w:szCs w:val="20"/>
          <w:lang w:val="sr-Latn-BA"/>
        </w:rPr>
      </w:pPr>
    </w:p>
    <w:p w14:paraId="43E83636" w14:textId="77777777" w:rsidR="001F77DD" w:rsidRDefault="001F77DD">
      <w:pPr>
        <w:spacing w:after="0" w:line="360" w:lineRule="auto"/>
        <w:contextualSpacing/>
        <w:jc w:val="both"/>
        <w:rPr>
          <w:rFonts w:ascii="Arial" w:eastAsia="Times New Roman" w:hAnsi="Arial" w:cs="Arial"/>
          <w:color w:val="006A9D"/>
          <w:lang w:val="sr-Latn-BA"/>
        </w:rPr>
      </w:pPr>
    </w:p>
    <w:p w14:paraId="4FF18138" w14:textId="77777777" w:rsidR="001F77DD" w:rsidRDefault="00D97F9C">
      <w:pPr>
        <w:spacing w:after="0" w:line="360" w:lineRule="auto"/>
        <w:jc w:val="both"/>
        <w:rPr>
          <w:rFonts w:ascii="Arial" w:eastAsia="Times New Roman" w:hAnsi="Arial" w:cs="Arial"/>
          <w:sz w:val="20"/>
          <w:szCs w:val="20"/>
          <w:lang w:val="sr-Latn-BA"/>
        </w:rPr>
      </w:pPr>
      <w:r>
        <w:rPr>
          <w:rFonts w:ascii="Arial" w:eastAsia="Times New Roman" w:hAnsi="Arial" w:cs="Arial"/>
          <w:sz w:val="20"/>
          <w:szCs w:val="20"/>
          <w:lang w:val="sr-Latn-BA"/>
        </w:rPr>
        <w:t>Agencija će kontinuirano pratiti mogućnosti finansiranja iz IPA, Digital Europe i drugih bilateralnih i multilateralnih programa za projekte koji neposredno doprinose razvoju funkcija iz njenog zakonskog djelokruga.</w:t>
      </w:r>
    </w:p>
    <w:p w14:paraId="7EF71CE7" w14:textId="77777777" w:rsidR="001F77DD" w:rsidRDefault="00D97F9C">
      <w:pPr>
        <w:spacing w:after="0" w:line="360" w:lineRule="auto"/>
        <w:jc w:val="both"/>
        <w:rPr>
          <w:rFonts w:ascii="Arial" w:eastAsia="Times New Roman" w:hAnsi="Arial" w:cs="Arial"/>
          <w:sz w:val="20"/>
          <w:szCs w:val="20"/>
          <w:lang w:val="sr-Latn-BA"/>
        </w:rPr>
      </w:pPr>
      <w:r>
        <w:rPr>
          <w:rFonts w:ascii="Arial" w:eastAsia="Times New Roman" w:hAnsi="Arial" w:cs="Arial"/>
          <w:sz w:val="20"/>
          <w:szCs w:val="20"/>
          <w:lang w:val="sr-Latn-BA"/>
        </w:rPr>
        <w:t>Prioritet predstavljaju projekti u oblastima sigurnosti identifikacionih dokumenata, digitalnog identiteta, elektronskih certifikata i digitalnog potpisivanja, interoperabilnosti, razmjene podataka, cyber sigurnosti Sistema IDDEEA, zaštite podataka, mrežne infrastrukture, kontinuiteta poslovanja i razvoja stručnih kapaciteta.</w:t>
      </w:r>
    </w:p>
    <w:p w14:paraId="691CC8C5" w14:textId="77777777" w:rsidR="001F77DD" w:rsidRDefault="00D97F9C">
      <w:pPr>
        <w:spacing w:after="0" w:line="360" w:lineRule="auto"/>
        <w:jc w:val="both"/>
        <w:rPr>
          <w:rFonts w:ascii="Arial" w:eastAsia="Times New Roman" w:hAnsi="Arial" w:cs="Arial"/>
          <w:sz w:val="20"/>
          <w:szCs w:val="20"/>
          <w:lang w:val="sr-Latn-BA"/>
        </w:rPr>
      </w:pPr>
      <w:r>
        <w:rPr>
          <w:rFonts w:ascii="Arial" w:eastAsia="Times New Roman" w:hAnsi="Arial" w:cs="Arial"/>
          <w:sz w:val="20"/>
          <w:szCs w:val="20"/>
          <w:lang w:val="sr-Latn-BA"/>
        </w:rPr>
        <w:t>Prije podnošenja projektne prijave utvrđuje se usklađenost projektnih aktivnosti sa zakonskim nadležnostima Agencije, finansijske obaveze sufinansiranja i dugoročna održivost rezultata projekta.</w:t>
      </w:r>
    </w:p>
    <w:p w14:paraId="25F97B49" w14:textId="77777777" w:rsidR="001F77DD" w:rsidRDefault="001F77DD">
      <w:pPr>
        <w:spacing w:after="0" w:line="360" w:lineRule="auto"/>
        <w:jc w:val="both"/>
        <w:rPr>
          <w:rFonts w:ascii="Arial" w:hAnsi="Arial" w:cs="Arial"/>
          <w:sz w:val="20"/>
          <w:szCs w:val="20"/>
          <w:lang w:val="sr-Latn-BA"/>
        </w:rPr>
      </w:pPr>
    </w:p>
    <w:p w14:paraId="05414F5E" w14:textId="662148FA"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lastRenderedPageBreak/>
        <w:t xml:space="preserve">Instrument pretpristupne pomoći IPA </w:t>
      </w:r>
    </w:p>
    <w:p w14:paraId="358E6A91" w14:textId="77777777" w:rsidR="001F77DD" w:rsidRDefault="001F77DD">
      <w:pPr>
        <w:spacing w:after="0" w:line="360" w:lineRule="auto"/>
        <w:jc w:val="both"/>
        <w:rPr>
          <w:rFonts w:ascii="Arial" w:hAnsi="Arial" w:cs="Arial"/>
          <w:b/>
          <w:sz w:val="20"/>
          <w:szCs w:val="20"/>
          <w:lang w:val="sr-Latn-BA"/>
        </w:rPr>
      </w:pPr>
    </w:p>
    <w:p w14:paraId="339B16F7"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 xml:space="preserve">Jedan od ključnih izvora finansiranja predstavljaju </w:t>
      </w:r>
      <w:r>
        <w:rPr>
          <w:rFonts w:ascii="Arial" w:hAnsi="Arial" w:cs="Arial"/>
          <w:b/>
          <w:sz w:val="20"/>
          <w:szCs w:val="20"/>
          <w:lang w:val="sr-Latn-BA"/>
        </w:rPr>
        <w:t>Instrumenti pretpristupne pomoći</w:t>
      </w:r>
      <w:r>
        <w:rPr>
          <w:rFonts w:ascii="Arial" w:hAnsi="Arial" w:cs="Arial"/>
          <w:sz w:val="20"/>
          <w:szCs w:val="20"/>
          <w:lang w:val="sr-Latn-BA"/>
        </w:rPr>
        <w:t xml:space="preserve"> IPA (Instrument for Pre-Accession Assistance), tzv. IPA fondovi, koji su usmjereni na podršku zemljama kandidatima i potencijalnim kandidatima za članstvo u Europskoj uniji, uključujući Bosnu i Hercegovinu. IPA fondovi omogućavaju finansiranje širokog spektra projekata, od infrastrukturnih do onih koji se odnose na institucionalni razvoj i jačanje administrativnih kapaciteta. Kroz ove fondove, Agencija ima mogućnost da unaprijedi svoje tehnološke i operativne kapacitete, poboljša usluge koje pruža i osigura usklađenost sa europskim standardima i praksama. Agencija je kroz IPA fondove uspješno realizirala niz projekata koji su doprinijeli unapređenju tehnoloških kapaciteta, sigurnosti podataka i efikasnosti pružanja e-usluga građanima Bosne i Hercegovine.</w:t>
      </w:r>
    </w:p>
    <w:p w14:paraId="5FCCD6D9" w14:textId="77777777" w:rsidR="001F77DD" w:rsidRDefault="001F77DD">
      <w:pPr>
        <w:spacing w:after="0" w:line="360" w:lineRule="auto"/>
        <w:jc w:val="both"/>
        <w:rPr>
          <w:rFonts w:ascii="Arial" w:hAnsi="Arial" w:cs="Arial"/>
          <w:sz w:val="20"/>
          <w:szCs w:val="20"/>
          <w:lang w:val="sr-Latn-BA"/>
        </w:rPr>
      </w:pPr>
    </w:p>
    <w:p w14:paraId="505B29DC" w14:textId="77777777" w:rsidR="001F77DD" w:rsidRDefault="00D97F9C">
      <w:pPr>
        <w:numPr>
          <w:ilvl w:val="0"/>
          <w:numId w:val="12"/>
        </w:numPr>
        <w:spacing w:after="0" w:line="360" w:lineRule="auto"/>
        <w:ind w:left="714" w:hanging="357"/>
        <w:jc w:val="both"/>
        <w:rPr>
          <w:rFonts w:ascii="Arial" w:eastAsia="Times New Roman" w:hAnsi="Arial" w:cs="Arial"/>
          <w:sz w:val="20"/>
          <w:szCs w:val="20"/>
          <w:lang w:val="sr-Latn-BA"/>
        </w:rPr>
      </w:pPr>
      <w:r>
        <w:rPr>
          <w:rFonts w:ascii="Arial" w:eastAsia="Times New Roman" w:hAnsi="Arial" w:cs="Arial"/>
          <w:b/>
          <w:bCs/>
          <w:sz w:val="20"/>
          <w:szCs w:val="20"/>
          <w:lang w:val="sr-Latn-BA"/>
        </w:rPr>
        <w:t>IPA 2007: Implementacija PKI na CIPS lokacijama</w:t>
      </w:r>
      <w:r>
        <w:rPr>
          <w:rFonts w:ascii="Arial" w:eastAsia="Times New Roman" w:hAnsi="Arial" w:cs="Arial"/>
          <w:sz w:val="20"/>
          <w:szCs w:val="20"/>
          <w:lang w:val="sr-Latn-BA"/>
        </w:rPr>
        <w:t xml:space="preserve"> – Ovaj projekat je omogućio postavljanje temelja za sigurnu digitalnu identifikaciju građana BiH kroz implementaciju infrastrukture javnog ključa (PKI) na lokacijama zaduženim za izdavanje CIPS dokumenata. PKI je osigurao sigurnu autentikaciju i digitalni potpis, omogućivši sigurnu komunikaciju između različitih administrativnih tijela.</w:t>
      </w:r>
    </w:p>
    <w:p w14:paraId="5461AD65" w14:textId="77777777" w:rsidR="001F77DD" w:rsidRDefault="00D97F9C">
      <w:pPr>
        <w:numPr>
          <w:ilvl w:val="0"/>
          <w:numId w:val="12"/>
        </w:numPr>
        <w:spacing w:after="0" w:line="360" w:lineRule="auto"/>
        <w:ind w:left="714" w:hanging="357"/>
        <w:jc w:val="both"/>
        <w:rPr>
          <w:rFonts w:ascii="Arial" w:eastAsia="Times New Roman" w:hAnsi="Arial" w:cs="Arial"/>
          <w:sz w:val="20"/>
          <w:szCs w:val="20"/>
          <w:lang w:val="sr-Latn-BA"/>
        </w:rPr>
      </w:pPr>
      <w:r>
        <w:rPr>
          <w:rFonts w:ascii="Arial" w:eastAsia="Times New Roman" w:hAnsi="Arial" w:cs="Arial"/>
          <w:b/>
          <w:bCs/>
          <w:sz w:val="20"/>
          <w:szCs w:val="20"/>
          <w:lang w:val="sr-Latn-BA"/>
        </w:rPr>
        <w:t>IPA 2008: Konsolidacija CIPS registra</w:t>
      </w:r>
      <w:r>
        <w:rPr>
          <w:rFonts w:ascii="Arial" w:eastAsia="Times New Roman" w:hAnsi="Arial" w:cs="Arial"/>
          <w:sz w:val="20"/>
          <w:szCs w:val="20"/>
          <w:lang w:val="sr-Latn-BA"/>
        </w:rPr>
        <w:t xml:space="preserve"> – Projekat je osigurao sigurniji pristup bazama podataka Agencije, u skladu sa ICAO standardima, te omogućio unapređenje zaštite ličnih podataka građana.</w:t>
      </w:r>
    </w:p>
    <w:p w14:paraId="4245D8AD" w14:textId="77777777" w:rsidR="001F77DD" w:rsidRDefault="00D97F9C">
      <w:pPr>
        <w:numPr>
          <w:ilvl w:val="0"/>
          <w:numId w:val="12"/>
        </w:numPr>
        <w:spacing w:after="0" w:line="360" w:lineRule="auto"/>
        <w:ind w:left="714" w:hanging="357"/>
        <w:jc w:val="both"/>
        <w:rPr>
          <w:rFonts w:ascii="Arial" w:eastAsia="Times New Roman" w:hAnsi="Arial" w:cs="Arial"/>
          <w:sz w:val="20"/>
          <w:szCs w:val="20"/>
          <w:lang w:val="sr-Latn-BA"/>
        </w:rPr>
      </w:pPr>
      <w:r>
        <w:rPr>
          <w:rFonts w:ascii="Arial" w:eastAsia="Times New Roman" w:hAnsi="Arial" w:cs="Arial"/>
          <w:b/>
          <w:bCs/>
          <w:sz w:val="20"/>
          <w:szCs w:val="20"/>
          <w:lang w:val="sr-Latn-BA"/>
        </w:rPr>
        <w:t>IPA 2010: IKT rješenja za IDDEEA-u i Parlamentarnu skupštinu BiH</w:t>
      </w:r>
      <w:r>
        <w:rPr>
          <w:rFonts w:ascii="Arial" w:eastAsia="Times New Roman" w:hAnsi="Arial" w:cs="Arial"/>
          <w:sz w:val="20"/>
          <w:szCs w:val="20"/>
          <w:lang w:val="sr-Latn-BA"/>
        </w:rPr>
        <w:t xml:space="preserve"> – Ovaj projekat omogućio je građanima BiH pristup e-uslugama putem ID kartica, unaprijedivši efikasnost i transparentnost usluga koje pruža Agencija.</w:t>
      </w:r>
    </w:p>
    <w:p w14:paraId="0C964EA6" w14:textId="77777777" w:rsidR="001F77DD" w:rsidRDefault="00D97F9C">
      <w:pPr>
        <w:numPr>
          <w:ilvl w:val="0"/>
          <w:numId w:val="12"/>
        </w:numPr>
        <w:spacing w:after="0" w:line="360" w:lineRule="auto"/>
        <w:ind w:left="714" w:hanging="357"/>
        <w:jc w:val="both"/>
        <w:rPr>
          <w:rFonts w:ascii="Arial" w:eastAsia="Times New Roman" w:hAnsi="Arial" w:cs="Arial"/>
          <w:sz w:val="20"/>
          <w:szCs w:val="20"/>
          <w:lang w:val="sr-Latn-BA"/>
        </w:rPr>
      </w:pPr>
      <w:r>
        <w:rPr>
          <w:rFonts w:ascii="Arial" w:eastAsia="Times New Roman" w:hAnsi="Arial" w:cs="Arial"/>
          <w:b/>
          <w:bCs/>
          <w:sz w:val="20"/>
          <w:szCs w:val="20"/>
          <w:lang w:val="sr-Latn-BA"/>
        </w:rPr>
        <w:t>IPA 2011: Tvining projekat "Jačanje efikasnosti IDDEEA"</w:t>
      </w:r>
      <w:r>
        <w:rPr>
          <w:rFonts w:ascii="Arial" w:eastAsia="Times New Roman" w:hAnsi="Arial" w:cs="Arial"/>
          <w:sz w:val="20"/>
          <w:szCs w:val="20"/>
          <w:lang w:val="sr-Latn-BA"/>
        </w:rPr>
        <w:t xml:space="preserve"> – Ovaj projekat omogućio je razmjenu iskustava s Italijom i Estonijom, što je rezultiralo unapređenjem internih kapaciteta Agencije, posebno u segmentu sigurnosti IKT sistema.</w:t>
      </w:r>
    </w:p>
    <w:p w14:paraId="7D53FC0F" w14:textId="77777777" w:rsidR="001F77DD" w:rsidRDefault="00D97F9C">
      <w:pPr>
        <w:numPr>
          <w:ilvl w:val="0"/>
          <w:numId w:val="12"/>
        </w:numPr>
        <w:spacing w:after="0" w:line="360" w:lineRule="auto"/>
        <w:ind w:left="714" w:hanging="357"/>
        <w:jc w:val="both"/>
        <w:rPr>
          <w:rFonts w:ascii="Arial" w:eastAsia="Times New Roman" w:hAnsi="Arial" w:cs="Arial"/>
          <w:sz w:val="20"/>
          <w:szCs w:val="20"/>
          <w:lang w:val="sr-Latn-BA"/>
        </w:rPr>
      </w:pPr>
      <w:r>
        <w:rPr>
          <w:rFonts w:ascii="Arial" w:eastAsia="Times New Roman" w:hAnsi="Arial" w:cs="Arial"/>
          <w:b/>
          <w:bCs/>
          <w:sz w:val="20"/>
          <w:szCs w:val="20"/>
          <w:lang w:val="sr-Latn-BA"/>
        </w:rPr>
        <w:t>IPA 2017: Podrška EU IDDEEA-i u BiH</w:t>
      </w:r>
      <w:r>
        <w:rPr>
          <w:rFonts w:ascii="Arial" w:eastAsia="Times New Roman" w:hAnsi="Arial" w:cs="Arial"/>
          <w:sz w:val="20"/>
          <w:szCs w:val="20"/>
          <w:lang w:val="sr-Latn-BA"/>
        </w:rPr>
        <w:t xml:space="preserve"> – Unaprijeđeni su tehnički kapaciteti Agencije, te je implementirano nekoliko ključnih aplikacija koje su poboljšale dostupnost podataka i unaprijedile e-usluge građanima.</w:t>
      </w:r>
    </w:p>
    <w:p w14:paraId="19F9CFC6" w14:textId="77777777" w:rsidR="001F77DD" w:rsidRDefault="00D97F9C">
      <w:pPr>
        <w:numPr>
          <w:ilvl w:val="0"/>
          <w:numId w:val="12"/>
        </w:numPr>
        <w:spacing w:after="0" w:line="360" w:lineRule="auto"/>
        <w:ind w:left="714" w:hanging="357"/>
        <w:jc w:val="both"/>
        <w:rPr>
          <w:rFonts w:ascii="Arial" w:eastAsia="Times New Roman" w:hAnsi="Arial" w:cs="Arial"/>
          <w:sz w:val="20"/>
          <w:szCs w:val="20"/>
          <w:lang w:val="sr-Latn-BA"/>
        </w:rPr>
      </w:pPr>
      <w:r>
        <w:rPr>
          <w:rFonts w:ascii="Arial" w:eastAsia="Times New Roman" w:hAnsi="Arial" w:cs="Arial"/>
          <w:b/>
          <w:bCs/>
          <w:sz w:val="20"/>
          <w:szCs w:val="20"/>
          <w:lang w:val="sr-Latn-BA"/>
        </w:rPr>
        <w:t>IPA 2019: Tvining projekat "Unapređenje usluga za građane BiH"</w:t>
      </w:r>
      <w:r>
        <w:rPr>
          <w:rFonts w:ascii="Arial" w:eastAsia="Times New Roman" w:hAnsi="Arial" w:cs="Arial"/>
          <w:sz w:val="20"/>
          <w:szCs w:val="20"/>
          <w:lang w:val="sr-Latn-BA"/>
        </w:rPr>
        <w:t xml:space="preserve"> – Cilj ovog projekta bio je jačanje kapaciteta Agencije kroz poboljšanje kvaliteta e-usluga i sigurnosnih procedura, kao i unapređenje otvorenih podataka i e-participacije.</w:t>
      </w:r>
    </w:p>
    <w:p w14:paraId="1FA4B061" w14:textId="77777777" w:rsidR="001F77DD" w:rsidRDefault="001F77DD">
      <w:pPr>
        <w:spacing w:after="0" w:line="360" w:lineRule="auto"/>
        <w:jc w:val="both"/>
        <w:rPr>
          <w:rFonts w:ascii="Arial" w:hAnsi="Arial" w:cs="Arial"/>
          <w:sz w:val="20"/>
          <w:szCs w:val="20"/>
          <w:lang w:val="sr-Latn-BA"/>
        </w:rPr>
      </w:pPr>
    </w:p>
    <w:p w14:paraId="0C0F3DBA" w14:textId="2E3917A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 xml:space="preserve">Agencija cilja na korištenje IPA fondova za razvoj projekata koji direktno doprinose postizanju ciljeva održivog razvoja (SDG), posebno u oblastima inovacija, infrastrukture i pružanja kvalitetnih usluga građanima. Ovi projekti ne samo da poboljšavaju usluge, već, također, pomažu u usklađivanju sa EU standardima, što je ključno za integraciju Bosne i Hercegovine u Europsku uniju. U okviru aktuelnog ciklusa IPA III (2021-2027), Agencija planira dodatno iskoristiti dostupne mogućnosti za jačanje tehnoloških kapaciteta i unapređenje e-usluga. Prioriteti IPA III uključuju podršku zelenoj i digitalnoj </w:t>
      </w:r>
      <w:r>
        <w:rPr>
          <w:rFonts w:ascii="Arial" w:hAnsi="Arial" w:cs="Arial"/>
          <w:sz w:val="20"/>
          <w:szCs w:val="20"/>
          <w:lang w:val="sr-Latn-BA"/>
        </w:rPr>
        <w:lastRenderedPageBreak/>
        <w:t>tranziciji, jačanje pravne države, dobre uprave i demokratije, te unapređenje socijalne i ekonomske otpornosti, a budući projekti Agencije bit će usmjereni na ove ključne oblasti.</w:t>
      </w:r>
    </w:p>
    <w:p w14:paraId="3FBFBCCC" w14:textId="77777777" w:rsidR="001F77DD" w:rsidRDefault="001F77DD">
      <w:pPr>
        <w:spacing w:after="0" w:line="360" w:lineRule="auto"/>
        <w:jc w:val="both"/>
        <w:rPr>
          <w:rFonts w:ascii="Arial" w:hAnsi="Arial" w:cs="Arial"/>
          <w:sz w:val="20"/>
          <w:szCs w:val="20"/>
          <w:lang w:val="sr-Latn-BA"/>
        </w:rPr>
      </w:pPr>
    </w:p>
    <w:p w14:paraId="39BAA8BD" w14:textId="77777777" w:rsidR="001F77DD" w:rsidRDefault="00D97F9C">
      <w:pPr>
        <w:numPr>
          <w:ilvl w:val="0"/>
          <w:numId w:val="13"/>
        </w:numPr>
        <w:spacing w:after="0" w:line="360" w:lineRule="auto"/>
        <w:jc w:val="both"/>
        <w:rPr>
          <w:rFonts w:ascii="Arial" w:eastAsia="Times New Roman" w:hAnsi="Arial" w:cs="Arial"/>
          <w:sz w:val="20"/>
          <w:szCs w:val="20"/>
          <w:lang w:val="sr-Latn-BA"/>
        </w:rPr>
      </w:pPr>
      <w:r>
        <w:rPr>
          <w:rFonts w:ascii="Arial" w:eastAsia="Times New Roman" w:hAnsi="Arial" w:cs="Arial"/>
          <w:sz w:val="20"/>
          <w:szCs w:val="20"/>
          <w:lang w:val="sr-Latn-BA"/>
        </w:rPr>
        <w:t>Dalje unapređenje e-usluga za građane, uključujući proširenje obima elektronskih usluga, kao što su izdavanje identifikacionih dokumenata i registracija vozila.</w:t>
      </w:r>
    </w:p>
    <w:p w14:paraId="48E83134" w14:textId="77777777" w:rsidR="001F77DD" w:rsidRDefault="00D97F9C">
      <w:pPr>
        <w:numPr>
          <w:ilvl w:val="0"/>
          <w:numId w:val="13"/>
        </w:numPr>
        <w:spacing w:after="0" w:line="360" w:lineRule="auto"/>
        <w:jc w:val="both"/>
        <w:rPr>
          <w:rFonts w:ascii="Arial" w:eastAsia="Times New Roman" w:hAnsi="Arial" w:cs="Arial"/>
          <w:sz w:val="20"/>
          <w:szCs w:val="20"/>
          <w:lang w:val="sr-Latn-BA"/>
        </w:rPr>
      </w:pPr>
      <w:r>
        <w:rPr>
          <w:rFonts w:ascii="Arial" w:eastAsia="Times New Roman" w:hAnsi="Arial" w:cs="Arial"/>
          <w:sz w:val="20"/>
          <w:szCs w:val="20"/>
          <w:lang w:val="sr-Latn-BA"/>
        </w:rPr>
        <w:t>Uvođenje naprednih digitalnih alata za verifikaciju i zaštitu identiteta, poput biometrijskih sistema, blockchain tehnologije za zaštitu podataka, te integraciju novih sigurnosnih protokola u skladu sa zakonskim regulativama.</w:t>
      </w:r>
    </w:p>
    <w:p w14:paraId="0EB469DE" w14:textId="77777777" w:rsidR="001F77DD" w:rsidRDefault="00D97F9C">
      <w:pPr>
        <w:numPr>
          <w:ilvl w:val="0"/>
          <w:numId w:val="13"/>
        </w:numPr>
        <w:spacing w:after="0" w:line="360" w:lineRule="auto"/>
        <w:jc w:val="both"/>
        <w:rPr>
          <w:rFonts w:ascii="Arial" w:eastAsia="Times New Roman" w:hAnsi="Arial" w:cs="Arial"/>
          <w:sz w:val="20"/>
          <w:szCs w:val="20"/>
          <w:lang w:val="sr-Latn-BA"/>
        </w:rPr>
      </w:pPr>
      <w:r>
        <w:rPr>
          <w:rFonts w:ascii="Arial" w:eastAsia="Times New Roman" w:hAnsi="Arial" w:cs="Arial"/>
          <w:sz w:val="20"/>
          <w:szCs w:val="20"/>
          <w:lang w:val="sr-Latn-BA"/>
        </w:rPr>
        <w:t>Jačanje administrativnih kapaciteta kroz obuku zaposlenih i razvoj novih IT sistema koji će omogućiti efikasniji rad i smanjiti administrativne prepreke.</w:t>
      </w:r>
    </w:p>
    <w:p w14:paraId="3A4E122F" w14:textId="77777777" w:rsidR="001F77DD" w:rsidRDefault="001F77DD">
      <w:pPr>
        <w:spacing w:after="0" w:line="360" w:lineRule="auto"/>
        <w:jc w:val="both"/>
        <w:rPr>
          <w:rFonts w:ascii="Arial" w:hAnsi="Arial" w:cs="Arial"/>
          <w:sz w:val="20"/>
          <w:szCs w:val="20"/>
          <w:lang w:val="sr-Latn-BA"/>
        </w:rPr>
      </w:pPr>
    </w:p>
    <w:p w14:paraId="601C792D"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Kako se Bosna i Hercegovina bude približavala procesu integracije u Europsku uniju, IPA fondovi će јој postepeno prestati biti dostupni, a otvorit će se nove mogućnosti kroz druge europske fondove koji su namijenjeni državama članicama. U tom kontekstu, Agencija će strateški usmjeriti svoje aktivnosti ka uspostavljanju partnerstava u okviru novih fondova kako bi osigurala kontinuitet svojih digitalnih projekata i inicijativa.</w:t>
      </w:r>
    </w:p>
    <w:p w14:paraId="3F61A6F6"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 xml:space="preserve">Također, Agencija planira intenzivirati saradnju s domaćim fondovima i institucijama u BiH, kako bi osigurala održivo finansiranje za projekte koji podržavaju digitalnu transformaciju, jačanje administrativnih kapaciteta i pružanje kvalitetnijih javnih usluga. </w:t>
      </w:r>
    </w:p>
    <w:p w14:paraId="204F0FA0" w14:textId="77777777" w:rsidR="001F77DD" w:rsidRDefault="001F77DD">
      <w:pPr>
        <w:spacing w:after="0" w:line="360" w:lineRule="auto"/>
        <w:jc w:val="both"/>
        <w:rPr>
          <w:rFonts w:ascii="Arial" w:hAnsi="Arial" w:cs="Arial"/>
          <w:b/>
          <w:color w:val="C00000"/>
          <w:sz w:val="20"/>
          <w:szCs w:val="20"/>
          <w:lang w:val="sr-Latn-BA"/>
        </w:rPr>
      </w:pPr>
    </w:p>
    <w:p w14:paraId="141721F4" w14:textId="77777777" w:rsidR="001F77DD" w:rsidRDefault="00D97F9C">
      <w:pPr>
        <w:spacing w:after="0" w:line="360" w:lineRule="auto"/>
        <w:jc w:val="both"/>
        <w:rPr>
          <w:rFonts w:ascii="Arial" w:hAnsi="Arial" w:cs="Arial"/>
          <w:b/>
          <w:sz w:val="20"/>
          <w:szCs w:val="20"/>
          <w:lang w:val="sr-Latn-BA"/>
        </w:rPr>
      </w:pPr>
      <w:r>
        <w:rPr>
          <w:rFonts w:ascii="Arial" w:hAnsi="Arial" w:cs="Arial"/>
          <w:b/>
          <w:sz w:val="20"/>
          <w:szCs w:val="20"/>
          <w:lang w:val="sr-Latn-BA"/>
        </w:rPr>
        <w:t xml:space="preserve">Program </w:t>
      </w:r>
      <w:r>
        <w:rPr>
          <w:rFonts w:ascii="Arial" w:hAnsi="Arial" w:cs="Arial"/>
          <w:lang w:val="sr-Latn-BA"/>
        </w:rPr>
        <w:t>„</w:t>
      </w:r>
      <w:r>
        <w:rPr>
          <w:rFonts w:ascii="Arial" w:hAnsi="Arial" w:cs="Arial"/>
          <w:b/>
          <w:sz w:val="20"/>
          <w:szCs w:val="20"/>
          <w:lang w:val="sr-Latn-BA"/>
        </w:rPr>
        <w:t>DIGITALNA EUROPA</w:t>
      </w:r>
      <w:r>
        <w:rPr>
          <w:rFonts w:ascii="Arial" w:hAnsi="Arial" w:cs="Arial"/>
          <w:lang w:val="sr-Latn-BA"/>
        </w:rPr>
        <w:t>“</w:t>
      </w:r>
    </w:p>
    <w:p w14:paraId="567E434A" w14:textId="77777777" w:rsidR="001F77DD" w:rsidRDefault="001F77DD">
      <w:pPr>
        <w:spacing w:after="0" w:line="360" w:lineRule="auto"/>
        <w:jc w:val="both"/>
        <w:rPr>
          <w:rFonts w:ascii="Arial" w:hAnsi="Arial" w:cs="Arial"/>
          <w:b/>
          <w:sz w:val="20"/>
          <w:szCs w:val="20"/>
          <w:lang w:val="sr-Latn-BA"/>
        </w:rPr>
      </w:pPr>
    </w:p>
    <w:p w14:paraId="44E849D2"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Jedan od novih programa koji je sada dostupan za apliciranje iz Bosne i Hercegovine je Digitalna</w:t>
      </w:r>
      <w:r>
        <w:rPr>
          <w:rFonts w:ascii="Arial" w:eastAsia="Times New Roman" w:hAnsi="Arial" w:cs="Arial"/>
          <w:b/>
          <w:bCs/>
          <w:sz w:val="24"/>
          <w:szCs w:val="24"/>
          <w:lang w:val="sr-Latn-BA"/>
        </w:rPr>
        <w:t xml:space="preserve"> </w:t>
      </w:r>
      <w:r>
        <w:rPr>
          <w:rFonts w:ascii="Arial" w:eastAsia="Calibri" w:hAnsi="Arial" w:cs="Arial"/>
          <w:sz w:val="20"/>
          <w:szCs w:val="20"/>
          <w:lang w:val="sr-Latn-BA"/>
        </w:rPr>
        <w:t>Europa, kroz koji se pruža podrška za dalju digitalizaciju i jačanje digitalnih kapaciteta. Ova inicijativa Europske unije usmjerena je na podsticanje digitalne transformacije kroz podršku razvoju digitalnih tehnologija, uključujući visokoučinkovite računarske infrastrukture, umjetnu inteligenciju (AI) i kibernetičku sigurnost. Program ima za cilj osnažiti digitalnu konkurentnost i inovativne kapacitete europskih država. Uključivanjem u Digitalnu Europu, Agencija cilja da se aktivno uključi u inicijative usmjerene na digitalnu transformaciju na europskom nivou.</w:t>
      </w:r>
    </w:p>
    <w:p w14:paraId="1E64D243"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Konkretnije, učešće u Digitalnoj Europi otvara vrata Agenciji za korištenje resursa namijenjenih razvoju i unapređenju sistema digitalnog identiteta. Ova programska šema pruža mogućnost jačanja kapaciteta za elektronsku identifikaciju i autentikaciju, omogućavajući građanima Bosne i Hercegovine sigurniji pristup e-uslugama. Također, kroz ovaj okvir, Agencija može unaprijediti interoperabilnost sistema s europskim platformama, čime se osigurava veća usklađenost sa EU standardima i povećava efikasnost pružanja usluga. Unapređenje digitalne infrastrukture kroz Digitalnu Europu omogućilo bi Agenciji dalji razvoj u pravcu boljeg korištenja naprednih tehnologija, kao što su analitika velikih skupova podataka i umjetna inteligencija, radi poboljšanja kvaliteta javnih usluga. Ovo uključuje optimizaciju administrativnih procesa i pružanje personaliziranih usluga građanima putem digitalnih platformi.</w:t>
      </w:r>
    </w:p>
    <w:p w14:paraId="1CE30712"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lastRenderedPageBreak/>
        <w:t>Agencija će se posebno fokusirati na pozive koji se odnose na specifične ciljeve kao što su "Oblak, Podaci i AI" i "Najbolja upotreba digitalne tehnologije", koji su od strateškog značaja za unapređenje gore navedenih digitalnih kapaciteta Agencije. Program Digitalna Europa, nudi i mogućnosti za jačanje saradnje između Agencije i drugih europskih institucija koje učestvuju u sličnim projektima, omogućavajući razmjenu najboljih praksi u oblasti digitalizacije javne uprave. Učešćem u ovim inicijativama, Agencija cilja da značajno doprinese modernizaciji javnih usluga, podržavajući razvoj digitalne ekonomije i približavanje Bosne i Hercegovine europskom digitalnom ekosistemu.</w:t>
      </w:r>
    </w:p>
    <w:p w14:paraId="4C92EFE4"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Međutim, Agencija prepoznaje jedan od značajnih izazova u apliciranju za ove fondove – činjenicu da ih sufinansira Europska komisija u iznosu od 50%. To znači da je potrebno pronaći strukturalno rješenje kako bi se ovaj izazov prevazišao. Pronalaženje i osiguranje dodatnih finansijskih resursa biti će ključni za maksimiziranje koristi od učešća u programu Digitalna Europa.</w:t>
      </w:r>
    </w:p>
    <w:p w14:paraId="3C09DA11" w14:textId="77777777" w:rsidR="001F77DD" w:rsidRDefault="001F77DD">
      <w:pPr>
        <w:spacing w:after="0" w:line="360" w:lineRule="auto"/>
        <w:jc w:val="both"/>
        <w:rPr>
          <w:rFonts w:ascii="Arial" w:hAnsi="Arial" w:cs="Arial"/>
          <w:b/>
          <w:color w:val="C00000"/>
          <w:sz w:val="20"/>
          <w:szCs w:val="20"/>
          <w:lang w:val="sr-Latn-BA"/>
        </w:rPr>
      </w:pPr>
    </w:p>
    <w:p w14:paraId="60FF88A7" w14:textId="77777777" w:rsidR="001F77DD" w:rsidRDefault="00D97F9C">
      <w:pPr>
        <w:spacing w:after="0" w:line="360" w:lineRule="auto"/>
        <w:jc w:val="both"/>
        <w:rPr>
          <w:rFonts w:ascii="Arial" w:hAnsi="Arial" w:cs="Arial"/>
          <w:b/>
          <w:sz w:val="20"/>
          <w:szCs w:val="20"/>
          <w:lang w:val="sr-Latn-BA"/>
        </w:rPr>
      </w:pPr>
      <w:r>
        <w:rPr>
          <w:rFonts w:ascii="Arial" w:hAnsi="Arial" w:cs="Arial"/>
          <w:b/>
          <w:sz w:val="20"/>
          <w:szCs w:val="20"/>
          <w:lang w:val="sr-Latn-BA"/>
        </w:rPr>
        <w:t xml:space="preserve">Projekti prekogranične saradnje </w:t>
      </w:r>
    </w:p>
    <w:p w14:paraId="462A5DA3" w14:textId="77777777" w:rsidR="001F77DD" w:rsidRDefault="001F77DD">
      <w:pPr>
        <w:spacing w:after="0" w:line="360" w:lineRule="auto"/>
        <w:jc w:val="both"/>
        <w:rPr>
          <w:rFonts w:ascii="Arial" w:hAnsi="Arial" w:cs="Arial"/>
          <w:sz w:val="20"/>
          <w:szCs w:val="20"/>
          <w:lang w:val="sr-Latn-BA"/>
        </w:rPr>
      </w:pPr>
    </w:p>
    <w:p w14:paraId="6257106D"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Programi prekogranične saradnje su identifikovani kao ključni fondovi koji mogu pružiti podršku Agenciji u procesu jačanja saradnje preko granica, olakšavajući rješavanje zajedničkih izazova kroz razmjenu znanja, iskustava i najboljih praksi. U kontekstu Agencije, projekti prekogranične saradnje će se fokusirati na digitalizaciju javnih usluga, upravljanje identifikacionim dokumentima i unapređenje sigurnosti podataka.</w:t>
      </w:r>
    </w:p>
    <w:p w14:paraId="411E1A1D"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Kroz ove projekte, Agencija planira aktivno učestvovati u stvaranju zajedničkih rješenja koja obuhvataju razvoj interoperabilnih digitalnih sistema između susjednih zemalja, omogućavajući građanima lakši pristup javnim uslugama preko granica. To uključuje usklađivanje standarda u upravljanju identifikacionim dokumentima i digitalnim identitetom, čime se poboljšava mobilnost građana i efikasnost usluga unutar regije. Projekti ovog tipa često omogućavaju primjenu inovativnih rješenja koja mogu poslužiti kao pilot modeli za širu primjenu unutar EU.</w:t>
      </w:r>
    </w:p>
    <w:p w14:paraId="3ADC8F52"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Pored toga, prekogranična saradnja može se proširiti na zajedničke inicijative u oblasti kibernetičke sigurnosti (u onim dijelovima gdje je primjenjivo), te digitalizaciju procesa uprave, omogućavajući državama učesnicama bolju međusobnu povezanost i sigurniju razmjenu podataka. Ovi projekti podržavaju ciljeve održivog razvoja, posebno SDG 17 (Partnerstva za ciljeve), jer promovišu efikasne, održive i inovativne metode saradnje koje direktno doprinose društveno-ekonomskom razvoju i regionalnoj stabilnosti.</w:t>
      </w:r>
    </w:p>
    <w:p w14:paraId="3A730CE3"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Kroz učešće u ovim inicijativama, Agencija ne samo da unapređuje svoje kapacitete, već jača svoju ulogu u regionalnim okvirima, doprinoseći društveno-ekonomskoj koheziji i približavanju Bosne i Hercegovine europskim integracijama.</w:t>
      </w:r>
    </w:p>
    <w:p w14:paraId="6AC240F8"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Mogućnosti saradnje i konsultacija sa ekspertima kroz razne projektne šeme, predstavljaju važan aspekt u jačanju kapaciteta Agencije. Ovi fondovi i programi omogućavaju pristup stručnom znanju i savjetima, što je od ključne važnosti za razvoj i implementaciju efikasnih strategija i praksi u okviru Agencije. Ovi fondovi nude prilike za profesionalni razvoj osoblja, razmjenu najboljih praksi i učenje iz iskustava drugih zemalja i agencija, što je neophodno za postizanje ciljeva održivog razvoja (SDG) i ispunjavanje kriterija za pridruživanje EU.</w:t>
      </w:r>
    </w:p>
    <w:p w14:paraId="39436880"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lastRenderedPageBreak/>
        <w:t>Pored toga, Agencija kontinuirano prati pozive za pripremu projekata i aktivno aplicira kroz bilateralne saradnje sa institucijama kao što su ReSpa, UNDP, USAID, GiZ, te putem projektnih poziva lokalnih ambasada. Ovaj proaktivni pristup omogućava Agenciji da kontinuirano učestvuje u relevantnim inicijativama i osigura dodatne resurse za implementaciju svojih strateških ciljeva.</w:t>
      </w:r>
    </w:p>
    <w:p w14:paraId="6A0CBA62" w14:textId="77777777" w:rsidR="001F77DD" w:rsidRDefault="00D97F9C">
      <w:pPr>
        <w:rPr>
          <w:rFonts w:ascii="Arial" w:hAnsi="Arial" w:cs="Arial"/>
          <w:sz w:val="20"/>
          <w:szCs w:val="20"/>
          <w:lang w:val="sr-Latn-BA"/>
        </w:rPr>
      </w:pPr>
      <w:r>
        <w:rPr>
          <w:rFonts w:ascii="Arial" w:hAnsi="Arial" w:cs="Arial"/>
          <w:sz w:val="20"/>
          <w:szCs w:val="20"/>
          <w:lang w:val="sr-Latn-BA"/>
        </w:rPr>
        <w:br w:type="page" w:clear="all"/>
      </w:r>
    </w:p>
    <w:p w14:paraId="0557312C" w14:textId="5B640B4E" w:rsidR="001F77DD" w:rsidRDefault="00D97F9C">
      <w:pPr>
        <w:keepNext/>
        <w:keepLines/>
        <w:numPr>
          <w:ilvl w:val="0"/>
          <w:numId w:val="11"/>
        </w:numPr>
        <w:spacing w:before="480" w:after="0" w:line="360" w:lineRule="auto"/>
        <w:outlineLvl w:val="0"/>
        <w:rPr>
          <w:rFonts w:ascii="Arial" w:eastAsia="Arial" w:hAnsi="Arial" w:cs="Arial"/>
          <w:b/>
          <w:bCs/>
          <w:sz w:val="20"/>
          <w:szCs w:val="20"/>
          <w:lang w:val="sr-Latn-BA"/>
        </w:rPr>
      </w:pPr>
      <w:bookmarkStart w:id="30" w:name="_Toc213758734"/>
      <w:r>
        <w:rPr>
          <w:rFonts w:ascii="Arial" w:eastAsia="Arial" w:hAnsi="Arial" w:cs="Arial"/>
          <w:b/>
          <w:bCs/>
          <w:sz w:val="20"/>
          <w:szCs w:val="20"/>
          <w:lang w:val="sr-Latn-BA"/>
        </w:rPr>
        <w:lastRenderedPageBreak/>
        <w:t xml:space="preserve">Praćenje, izvještavanje i evaluacija </w:t>
      </w:r>
      <w:bookmarkEnd w:id="30"/>
    </w:p>
    <w:p w14:paraId="1814FB20" w14:textId="77777777" w:rsidR="001F77DD" w:rsidRDefault="00D97F9C">
      <w:pPr>
        <w:spacing w:after="0" w:line="360" w:lineRule="auto"/>
        <w:jc w:val="both"/>
        <w:rPr>
          <w:rFonts w:ascii="Arial" w:eastAsia="Calibri" w:hAnsi="Arial" w:cs="Arial"/>
          <w:sz w:val="20"/>
          <w:szCs w:val="20"/>
          <w:lang w:val="sr-Latn-BA"/>
        </w:rPr>
      </w:pPr>
      <w:bookmarkStart w:id="31" w:name="_heading=h.1ci93xb"/>
      <w:bookmarkEnd w:id="31"/>
      <w:r>
        <w:rPr>
          <w:rFonts w:ascii="Arial" w:eastAsia="Calibri" w:hAnsi="Arial" w:cs="Arial"/>
          <w:sz w:val="20"/>
          <w:szCs w:val="20"/>
          <w:lang w:val="sr-Latn-BA"/>
        </w:rPr>
        <w:t>Za svaki strateški cilj i mjeru utvrđuju se mjerljivi indikatori, početna vrijednost, ciljna vrijednost, rok, odgovorna organizaciona jedinica i izvor verifikacije.</w:t>
      </w:r>
    </w:p>
    <w:p w14:paraId="77F2B79D"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Organizacione jedinice odgovorne za pojedine mjere najmanje jednom godišnje dostavljaju podatke o stepenu realizacije, ostvarenim indikatorima, utrošenim sredstvima, identifikovanim rizicima i razlozima eventualnog odstupanja.</w:t>
      </w:r>
    </w:p>
    <w:p w14:paraId="357AFCB2"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Na nivou Agencije izrađuje se godišnji izvještaj o realizaciji Strategije.</w:t>
      </w:r>
    </w:p>
    <w:p w14:paraId="4A3CF97A" w14:textId="77777777"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Status svake mjere iskazuje se najmanje kao: realizovana; realizacija u toku; nije započeta; odgođena; obustavljena. Za svaku mjeru koja odstupa od plana navodi se obrazloženje i predložena korektivna aktivnost.</w:t>
      </w:r>
    </w:p>
    <w:p w14:paraId="5C2DE6CC" w14:textId="1DA5CC95" w:rsidR="001F77DD" w:rsidRDefault="00D97F9C">
      <w:pPr>
        <w:spacing w:after="0" w:line="360" w:lineRule="auto"/>
        <w:jc w:val="both"/>
        <w:rPr>
          <w:rFonts w:ascii="Arial" w:eastAsia="Calibri" w:hAnsi="Arial" w:cs="Arial"/>
          <w:sz w:val="20"/>
          <w:szCs w:val="20"/>
          <w:lang w:val="sr-Latn-BA"/>
        </w:rPr>
      </w:pPr>
      <w:r>
        <w:rPr>
          <w:rFonts w:ascii="Arial" w:eastAsia="Calibri" w:hAnsi="Arial" w:cs="Arial"/>
          <w:sz w:val="20"/>
          <w:szCs w:val="20"/>
          <w:lang w:val="sr-Latn-BA"/>
        </w:rPr>
        <w:t>Izvještavanje o Strategiji usklađuje se, gdje je primjenjivo, sa srednjoročnim i godišnjim planiranjem i izvještavanjem institucija Bosne i Hercegovine kako bi se izbjeglo paralelno i nepotrebno administrativno izvještavanje.</w:t>
      </w:r>
    </w:p>
    <w:p w14:paraId="7CA63FC6" w14:textId="77777777" w:rsidR="001F77DD" w:rsidRDefault="001F77DD">
      <w:pPr>
        <w:spacing w:after="0" w:line="360" w:lineRule="auto"/>
        <w:jc w:val="both"/>
        <w:rPr>
          <w:rFonts w:ascii="Arial" w:eastAsia="Calibri" w:hAnsi="Arial" w:cs="Arial"/>
          <w:lang w:val="sr-Latn-BA"/>
        </w:rPr>
      </w:pPr>
    </w:p>
    <w:p w14:paraId="67FC0449" w14:textId="650C8488" w:rsidR="001F77DD" w:rsidRDefault="00D97F9C">
      <w:pPr>
        <w:pStyle w:val="ListParagraph"/>
        <w:numPr>
          <w:ilvl w:val="0"/>
          <w:numId w:val="11"/>
        </w:numPr>
        <w:spacing w:after="0" w:line="360" w:lineRule="auto"/>
        <w:jc w:val="both"/>
        <w:outlineLvl w:val="1"/>
        <w:rPr>
          <w:rFonts w:ascii="Arial" w:eastAsia="Arial" w:hAnsi="Arial" w:cs="Arial"/>
          <w:b/>
          <w:bCs/>
          <w:i/>
          <w:iCs/>
          <w:sz w:val="20"/>
          <w:szCs w:val="20"/>
          <w:lang w:val="sr-Latn-BA"/>
        </w:rPr>
      </w:pPr>
      <w:r>
        <w:rPr>
          <w:rFonts w:ascii="Arial" w:eastAsia="Arial" w:hAnsi="Arial" w:cs="Arial"/>
          <w:b/>
          <w:bCs/>
          <w:i/>
          <w:iCs/>
          <w:sz w:val="20"/>
          <w:szCs w:val="20"/>
          <w:lang w:val="sr-Latn-BA"/>
        </w:rPr>
        <w:t>Upravljanje promjenama i revizija strategije</w:t>
      </w:r>
    </w:p>
    <w:p w14:paraId="4A3D5F1A" w14:textId="77777777" w:rsidR="001F77DD" w:rsidRDefault="001F77DD">
      <w:pPr>
        <w:spacing w:after="0" w:line="360" w:lineRule="auto"/>
        <w:jc w:val="both"/>
        <w:rPr>
          <w:rFonts w:ascii="Arial" w:eastAsia="Times New Roman" w:hAnsi="Arial" w:cs="Arial"/>
          <w:sz w:val="20"/>
          <w:szCs w:val="20"/>
          <w:lang w:val="sr-Latn-BA" w:eastAsia="sr-Latn-CS"/>
        </w:rPr>
      </w:pPr>
    </w:p>
    <w:p w14:paraId="5F099167"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Strategija se može revidirati kada dođe do značajne promjene pravnog okvira, nadležnosti Agencije, tehnološkog okruženja, sigurnosnih rizika, budžetskih pretpostavki ili drugih okolnosti koje bitno utiču na mogućnost ostvarivanja strateških ciljeva.</w:t>
      </w:r>
    </w:p>
    <w:p w14:paraId="0D1BF7AF"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Posebno se mora izvršiti pravna procjena mjere ako tokom perioda važenja Strategije dođe do izmjene propisa na kojem se zasniva njen pravni osnov.</w:t>
      </w:r>
    </w:p>
    <w:p w14:paraId="70375338" w14:textId="04F9B132"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Tehnološka promjena sama po sebi ne opravdava aktivnost za koju ne postoji odgovarajući pravni osnov.</w:t>
      </w:r>
    </w:p>
    <w:p w14:paraId="15808C26" w14:textId="77777777" w:rsidR="001F77DD" w:rsidRDefault="001F77DD">
      <w:pPr>
        <w:spacing w:after="0" w:line="360" w:lineRule="auto"/>
        <w:jc w:val="both"/>
        <w:rPr>
          <w:rFonts w:ascii="Arial" w:hAnsi="Arial" w:cs="Arial"/>
          <w:sz w:val="20"/>
          <w:szCs w:val="20"/>
          <w:lang w:val="sr-Latn-BA"/>
        </w:rPr>
      </w:pPr>
    </w:p>
    <w:p w14:paraId="7F8D4A91" w14:textId="77777777" w:rsidR="001F77DD" w:rsidRDefault="001F77DD">
      <w:pPr>
        <w:spacing w:after="0" w:line="360" w:lineRule="auto"/>
        <w:jc w:val="both"/>
        <w:rPr>
          <w:rFonts w:ascii="Arial" w:hAnsi="Arial" w:cs="Arial"/>
          <w:sz w:val="20"/>
          <w:szCs w:val="20"/>
          <w:lang w:val="sr-Latn-BA"/>
        </w:rPr>
      </w:pPr>
    </w:p>
    <w:p w14:paraId="6A72A8CA" w14:textId="77777777" w:rsidR="001F77DD" w:rsidRDefault="001F77DD">
      <w:pPr>
        <w:spacing w:after="0" w:line="360" w:lineRule="auto"/>
        <w:jc w:val="both"/>
        <w:rPr>
          <w:rFonts w:ascii="Arial" w:hAnsi="Arial" w:cs="Arial"/>
          <w:sz w:val="20"/>
          <w:szCs w:val="20"/>
          <w:lang w:val="sr-Latn-BA"/>
        </w:rPr>
      </w:pPr>
    </w:p>
    <w:p w14:paraId="4BC240FF" w14:textId="77777777" w:rsidR="001F77DD" w:rsidRDefault="00D97F9C">
      <w:pPr>
        <w:rPr>
          <w:rFonts w:ascii="Arial" w:hAnsi="Arial" w:cs="Arial"/>
          <w:sz w:val="20"/>
          <w:szCs w:val="20"/>
          <w:lang w:val="sr-Latn-BA"/>
        </w:rPr>
      </w:pPr>
      <w:r>
        <w:rPr>
          <w:rFonts w:ascii="Arial" w:hAnsi="Arial" w:cs="Arial"/>
          <w:sz w:val="20"/>
          <w:szCs w:val="20"/>
          <w:lang w:val="sr-Latn-BA"/>
        </w:rPr>
        <w:br w:type="page" w:clear="all"/>
      </w:r>
    </w:p>
    <w:p w14:paraId="76445AE3" w14:textId="77777777" w:rsidR="001F77DD" w:rsidRDefault="001F77DD">
      <w:pPr>
        <w:spacing w:after="0" w:line="360" w:lineRule="auto"/>
        <w:jc w:val="both"/>
        <w:rPr>
          <w:rFonts w:ascii="Arial" w:hAnsi="Arial" w:cs="Arial"/>
          <w:sz w:val="20"/>
          <w:szCs w:val="20"/>
          <w:lang w:val="sr-Latn-BA"/>
        </w:rPr>
      </w:pPr>
    </w:p>
    <w:p w14:paraId="375FB804" w14:textId="4C8ACD09" w:rsidR="001F77DD" w:rsidRDefault="00D97F9C">
      <w:pPr>
        <w:numPr>
          <w:ilvl w:val="0"/>
          <w:numId w:val="11"/>
        </w:numPr>
        <w:spacing w:after="0" w:line="360" w:lineRule="auto"/>
        <w:contextualSpacing/>
        <w:jc w:val="both"/>
        <w:outlineLvl w:val="0"/>
        <w:rPr>
          <w:rFonts w:ascii="Arial" w:eastAsia="Times New Roman" w:hAnsi="Arial" w:cs="Arial"/>
          <w:b/>
          <w:sz w:val="20"/>
          <w:szCs w:val="20"/>
          <w:lang w:val="sr-Latn-BA"/>
        </w:rPr>
      </w:pPr>
      <w:r>
        <w:rPr>
          <w:rFonts w:ascii="Arial" w:eastAsia="Times New Roman" w:hAnsi="Arial" w:cs="Arial"/>
          <w:b/>
          <w:sz w:val="20"/>
          <w:szCs w:val="20"/>
          <w:lang w:val="sr-Latn-BA"/>
        </w:rPr>
        <w:t>Z</w:t>
      </w:r>
      <w:r w:rsidR="00701BD1">
        <w:rPr>
          <w:rFonts w:ascii="Arial" w:eastAsia="Times New Roman" w:hAnsi="Arial" w:cs="Arial"/>
          <w:b/>
          <w:sz w:val="20"/>
          <w:szCs w:val="20"/>
          <w:lang w:val="sr-Latn-BA"/>
        </w:rPr>
        <w:t>a</w:t>
      </w:r>
      <w:bookmarkStart w:id="32" w:name="_GoBack"/>
      <w:bookmarkEnd w:id="32"/>
      <w:r>
        <w:rPr>
          <w:rFonts w:ascii="Arial" w:eastAsia="Times New Roman" w:hAnsi="Arial" w:cs="Arial"/>
          <w:b/>
          <w:sz w:val="20"/>
          <w:szCs w:val="20"/>
          <w:lang w:val="sr-Latn-BA"/>
        </w:rPr>
        <w:t>vršne i interpretativne odredbe</w:t>
      </w:r>
    </w:p>
    <w:p w14:paraId="6E234D8A" w14:textId="77777777" w:rsidR="001F77DD" w:rsidRDefault="001F77DD">
      <w:pPr>
        <w:spacing w:after="0" w:line="360" w:lineRule="auto"/>
        <w:jc w:val="both"/>
        <w:rPr>
          <w:rFonts w:ascii="Arial" w:hAnsi="Arial" w:cs="Arial"/>
          <w:sz w:val="20"/>
          <w:szCs w:val="20"/>
          <w:lang w:val="sr-Latn-BA"/>
        </w:rPr>
      </w:pPr>
    </w:p>
    <w:p w14:paraId="313DA6C2"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Strategija razvoja IDDEEA BiH za period 2027–2031. godine predstavlja planski okvir za razvoj načina izvršavanja zakonom utvrđenih nadležnosti Agencije.</w:t>
      </w:r>
    </w:p>
    <w:p w14:paraId="25332603"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Nijedna odredba ove Strategije ne predstavlja niti se može tumačiti kao samostalan pravni osnov za uspostavljanje nove nadležnosti Agencije, proširenje postojeće nadležnosti ili preuzimanje nadležnosti drugog organa.</w:t>
      </w:r>
    </w:p>
    <w:p w14:paraId="36460A25"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Navođenje tehnologije, platforme, međunarodnog standarda, evropskog propisa ili međunarodne inicijative predstavlja razvojno opredjeljenje samo u granicama važećeg zakonskog mandata Agencije.</w:t>
      </w:r>
    </w:p>
    <w:p w14:paraId="38000B1A"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Korištenje Sistema IDDEEA, centralnih evidencija, mreže za prijenos podataka, digitalnog identiteta, elektronskih certifikata, digitalnog potpisa, API-ja ili drugih tehničkih rješenja od strane drugog nadležnog organa ne mijenja njegovu zakonom utvrđenu materijalnu nadležnost i odgovornost.</w:t>
      </w:r>
    </w:p>
    <w:p w14:paraId="74B6C03B"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Ako realizacija određene mjere zahtijeva izmjenu zakona ili drugog propisa, odluku ili saglasnost drugog nadležnog organa, odgovarajući ugovorni ili drugi pravni odnos, posebno budžetsko odobrenje ili ispunjenje drugih pravnih, finansijskih, tehničkih ili institucionalnih pretpostavki, realizacija takve mjere započet će nakon njihovog ispunjenja.</w:t>
      </w:r>
    </w:p>
    <w:p w14:paraId="21F984D5" w14:textId="77777777"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U slučaju izmjene relevantnog zakonodavstva tokom perioda važenja Strategije, aktivnosti i Akcioni plan uskladit će se sa novim pravnim okvirom.</w:t>
      </w:r>
    </w:p>
    <w:p w14:paraId="408231BE" w14:textId="7B85044B" w:rsidR="001F77DD" w:rsidRDefault="00D97F9C">
      <w:pPr>
        <w:spacing w:after="0" w:line="360" w:lineRule="auto"/>
        <w:jc w:val="both"/>
        <w:rPr>
          <w:rFonts w:ascii="Arial" w:hAnsi="Arial" w:cs="Arial"/>
          <w:sz w:val="20"/>
          <w:szCs w:val="20"/>
          <w:lang w:val="sr-Latn-BA"/>
        </w:rPr>
      </w:pPr>
      <w:r>
        <w:rPr>
          <w:rFonts w:ascii="Arial" w:hAnsi="Arial" w:cs="Arial"/>
          <w:sz w:val="20"/>
          <w:szCs w:val="20"/>
          <w:lang w:val="sr-Latn-BA"/>
        </w:rPr>
        <w:t>Strategija se primjenjuje zajedno sa zakonima i drugim propisima Bosne i Hercegovine i ne može se tumačiti odvojeno od njih.</w:t>
      </w:r>
    </w:p>
    <w:p w14:paraId="3BEBA5FA" w14:textId="064252DC" w:rsidR="001F77DD" w:rsidRDefault="001F77DD">
      <w:pPr>
        <w:rPr>
          <w:rFonts w:ascii="Arial" w:hAnsi="Arial" w:cs="Arial"/>
          <w:lang w:val="sr-Latn-BA"/>
        </w:rPr>
      </w:pPr>
    </w:p>
    <w:p w14:paraId="2802E766" w14:textId="77777777" w:rsidR="001F77DD" w:rsidRDefault="001F77DD">
      <w:pPr>
        <w:rPr>
          <w:rFonts w:ascii="Arial" w:hAnsi="Arial" w:cs="Arial"/>
          <w:lang w:val="sr-Latn-BA"/>
        </w:rPr>
        <w:sectPr w:rsidR="001F77DD">
          <w:headerReference w:type="default" r:id="rId13"/>
          <w:footerReference w:type="default" r:id="rId14"/>
          <w:headerReference w:type="first" r:id="rId15"/>
          <w:footerReference w:type="first" r:id="rId16"/>
          <w:pgSz w:w="11906" w:h="16838"/>
          <w:pgMar w:top="1440" w:right="1440" w:bottom="1440" w:left="1584" w:header="706" w:footer="706" w:gutter="0"/>
          <w:cols w:space="708"/>
        </w:sectPr>
      </w:pPr>
    </w:p>
    <w:p w14:paraId="7D4A16A7" w14:textId="585E2BF1" w:rsidR="001F77DD" w:rsidRDefault="00D97F9C">
      <w:pPr>
        <w:pStyle w:val="Title"/>
        <w:rPr>
          <w:rFonts w:ascii="Arial" w:hAnsi="Arial" w:cs="Arial"/>
          <w:sz w:val="20"/>
          <w:szCs w:val="20"/>
        </w:rPr>
      </w:pPr>
      <w:r>
        <w:rPr>
          <w:rFonts w:ascii="Arial" w:hAnsi="Arial" w:cs="Arial"/>
          <w:sz w:val="20"/>
          <w:szCs w:val="20"/>
        </w:rPr>
        <w:lastRenderedPageBreak/>
        <w:t xml:space="preserve">Prilog </w:t>
      </w:r>
      <w:r w:rsidR="007E3796">
        <w:rPr>
          <w:rFonts w:ascii="Arial" w:hAnsi="Arial" w:cs="Arial"/>
          <w:sz w:val="20"/>
          <w:szCs w:val="20"/>
        </w:rPr>
        <w:t>2</w:t>
      </w:r>
      <w:r>
        <w:rPr>
          <w:rFonts w:ascii="Arial" w:hAnsi="Arial" w:cs="Arial"/>
          <w:sz w:val="20"/>
          <w:szCs w:val="20"/>
        </w:rPr>
        <w:t xml:space="preserve"> Matrica indikatora Strategije IDDEEA 2027–2031</w:t>
      </w:r>
    </w:p>
    <w:p w14:paraId="62A8A4D0" w14:textId="77777777" w:rsidR="001F77DD" w:rsidRDefault="00D97F9C">
      <w:pPr>
        <w:pStyle w:val="Heading1"/>
        <w:rPr>
          <w:sz w:val="20"/>
          <w:szCs w:val="20"/>
        </w:rPr>
      </w:pPr>
      <w:r>
        <w:rPr>
          <w:sz w:val="20"/>
          <w:szCs w:val="20"/>
        </w:rPr>
        <w:t>SC1 Identifikacioni dokumenti i personalizacija</w:t>
      </w:r>
    </w:p>
    <w:tbl>
      <w:tblPr>
        <w:tblW w:w="0" w:type="auto"/>
        <w:jc w:val="center"/>
        <w:tblLayout w:type="fixed"/>
        <w:tblLook w:val="04A0" w:firstRow="1" w:lastRow="0" w:firstColumn="1" w:lastColumn="0" w:noHBand="0" w:noVBand="1"/>
      </w:tblPr>
      <w:tblGrid>
        <w:gridCol w:w="1872"/>
        <w:gridCol w:w="3384"/>
        <w:gridCol w:w="1440"/>
        <w:gridCol w:w="2952"/>
        <w:gridCol w:w="1800"/>
        <w:gridCol w:w="1728"/>
        <w:gridCol w:w="1368"/>
      </w:tblGrid>
      <w:tr w:rsidR="001F77DD" w14:paraId="5BAAB8AB" w14:textId="77777777">
        <w:trPr>
          <w:cantSplit/>
          <w:tblHeader/>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7AC7A709" w14:textId="77777777" w:rsidR="001F77DD" w:rsidRDefault="00D97F9C">
            <w:pPr>
              <w:spacing w:before="60" w:after="60" w:line="240" w:lineRule="auto"/>
              <w:jc w:val="center"/>
              <w:rPr>
                <w:rFonts w:ascii="Arial" w:hAnsi="Arial" w:cs="Arial"/>
                <w:sz w:val="20"/>
                <w:szCs w:val="20"/>
              </w:rPr>
            </w:pPr>
            <w:r>
              <w:rPr>
                <w:rFonts w:ascii="Arial" w:hAnsi="Arial" w:cs="Arial"/>
                <w:b/>
                <w:sz w:val="20"/>
                <w:szCs w:val="20"/>
              </w:rPr>
              <w:t>Naziv indikatora</w:t>
            </w:r>
          </w:p>
        </w:tc>
        <w:tc>
          <w:tcPr>
            <w:tcW w:w="3384"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585FFE8D" w14:textId="77777777" w:rsidR="001F77DD" w:rsidRDefault="00D97F9C">
            <w:pPr>
              <w:spacing w:before="60" w:after="60" w:line="240" w:lineRule="auto"/>
              <w:jc w:val="center"/>
              <w:rPr>
                <w:rFonts w:ascii="Arial" w:hAnsi="Arial" w:cs="Arial"/>
                <w:sz w:val="20"/>
                <w:szCs w:val="20"/>
              </w:rPr>
            </w:pPr>
            <w:r>
              <w:rPr>
                <w:rFonts w:ascii="Arial" w:hAnsi="Arial" w:cs="Arial"/>
                <w:b/>
                <w:sz w:val="20"/>
                <w:szCs w:val="20"/>
              </w:rPr>
              <w:t>Definicija i obračun</w:t>
            </w:r>
          </w:p>
        </w:tc>
        <w:tc>
          <w:tcPr>
            <w:tcW w:w="1440"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75B551D8" w14:textId="77777777" w:rsidR="001F77DD" w:rsidRDefault="00D97F9C">
            <w:pPr>
              <w:spacing w:before="60" w:after="60" w:line="240" w:lineRule="auto"/>
              <w:jc w:val="center"/>
              <w:rPr>
                <w:rFonts w:ascii="Arial" w:hAnsi="Arial" w:cs="Arial"/>
                <w:sz w:val="20"/>
                <w:szCs w:val="20"/>
              </w:rPr>
            </w:pPr>
            <w:r>
              <w:rPr>
                <w:rFonts w:ascii="Arial" w:hAnsi="Arial" w:cs="Arial"/>
                <w:b/>
                <w:sz w:val="20"/>
                <w:szCs w:val="20"/>
              </w:rPr>
              <w:t>Baseline</w:t>
            </w:r>
          </w:p>
        </w:tc>
        <w:tc>
          <w:tcPr>
            <w:tcW w:w="2952"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4811B784" w14:textId="77777777" w:rsidR="001F77DD" w:rsidRDefault="00D97F9C">
            <w:pPr>
              <w:spacing w:before="60" w:after="60" w:line="240" w:lineRule="auto"/>
              <w:jc w:val="center"/>
              <w:rPr>
                <w:rFonts w:ascii="Arial" w:hAnsi="Arial" w:cs="Arial"/>
                <w:sz w:val="20"/>
                <w:szCs w:val="20"/>
              </w:rPr>
            </w:pPr>
            <w:r>
              <w:rPr>
                <w:rFonts w:ascii="Arial" w:hAnsi="Arial" w:cs="Arial"/>
                <w:b/>
                <w:sz w:val="20"/>
                <w:szCs w:val="20"/>
              </w:rPr>
              <w:t>Cilj</w:t>
            </w:r>
          </w:p>
        </w:tc>
        <w:tc>
          <w:tcPr>
            <w:tcW w:w="1800"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6ABA1A18" w14:textId="77777777" w:rsidR="001F77DD" w:rsidRDefault="00D97F9C">
            <w:pPr>
              <w:spacing w:before="60" w:after="60" w:line="240" w:lineRule="auto"/>
              <w:jc w:val="center"/>
              <w:rPr>
                <w:rFonts w:ascii="Arial" w:hAnsi="Arial" w:cs="Arial"/>
                <w:sz w:val="20"/>
                <w:szCs w:val="20"/>
              </w:rPr>
            </w:pPr>
            <w:r>
              <w:rPr>
                <w:rFonts w:ascii="Arial" w:hAnsi="Arial" w:cs="Arial"/>
                <w:b/>
                <w:sz w:val="20"/>
                <w:szCs w:val="20"/>
              </w:rPr>
              <w:t>Izvor podataka</w:t>
            </w:r>
          </w:p>
        </w:tc>
        <w:tc>
          <w:tcPr>
            <w:tcW w:w="1728"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0087EE14" w14:textId="77777777" w:rsidR="001F77DD" w:rsidRDefault="00D97F9C">
            <w:pPr>
              <w:spacing w:before="60" w:after="60" w:line="240" w:lineRule="auto"/>
              <w:jc w:val="center"/>
              <w:rPr>
                <w:rFonts w:ascii="Arial" w:hAnsi="Arial" w:cs="Arial"/>
                <w:sz w:val="20"/>
                <w:szCs w:val="20"/>
              </w:rPr>
            </w:pPr>
            <w:r>
              <w:rPr>
                <w:rFonts w:ascii="Arial" w:hAnsi="Arial" w:cs="Arial"/>
                <w:b/>
                <w:sz w:val="20"/>
                <w:szCs w:val="20"/>
              </w:rPr>
              <w:t>Vlasnik</w:t>
            </w:r>
          </w:p>
        </w:tc>
        <w:tc>
          <w:tcPr>
            <w:tcW w:w="1368"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79C52332" w14:textId="77777777" w:rsidR="001F77DD" w:rsidRDefault="00D97F9C">
            <w:pPr>
              <w:spacing w:before="60" w:after="60" w:line="240" w:lineRule="auto"/>
              <w:jc w:val="center"/>
              <w:rPr>
                <w:rFonts w:ascii="Arial" w:hAnsi="Arial" w:cs="Arial"/>
                <w:sz w:val="20"/>
                <w:szCs w:val="20"/>
              </w:rPr>
            </w:pPr>
            <w:r>
              <w:rPr>
                <w:rFonts w:ascii="Arial" w:hAnsi="Arial" w:cs="Arial"/>
                <w:b/>
                <w:sz w:val="20"/>
                <w:szCs w:val="20"/>
              </w:rPr>
              <w:t>Učestalost</w:t>
            </w:r>
          </w:p>
        </w:tc>
      </w:tr>
      <w:tr w:rsidR="001F77DD" w14:paraId="3F7B697D"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3C1D3FAF" w14:textId="77777777" w:rsidR="001F77DD" w:rsidRDefault="00D97F9C">
            <w:pPr>
              <w:spacing w:before="60" w:after="60" w:line="240" w:lineRule="auto"/>
              <w:rPr>
                <w:rFonts w:ascii="Arial" w:hAnsi="Arial" w:cs="Arial"/>
                <w:sz w:val="20"/>
                <w:szCs w:val="20"/>
              </w:rPr>
            </w:pPr>
            <w:r>
              <w:rPr>
                <w:rFonts w:ascii="Arial" w:hAnsi="Arial" w:cs="Arial"/>
                <w:sz w:val="20"/>
                <w:szCs w:val="20"/>
              </w:rPr>
              <w:t>K01 Broj personalizovanih dokumenata</w:t>
            </w:r>
          </w:p>
        </w:tc>
        <w:tc>
          <w:tcPr>
            <w:tcW w:w="3384"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4920F464" w14:textId="77777777" w:rsidR="001F77DD" w:rsidRDefault="00D97F9C">
            <w:pPr>
              <w:spacing w:before="60" w:after="60" w:line="240" w:lineRule="auto"/>
              <w:rPr>
                <w:rFonts w:ascii="Arial" w:hAnsi="Arial" w:cs="Arial"/>
                <w:sz w:val="20"/>
                <w:szCs w:val="20"/>
              </w:rPr>
            </w:pPr>
            <w:r>
              <w:rPr>
                <w:rFonts w:ascii="Arial" w:hAnsi="Arial" w:cs="Arial"/>
                <w:sz w:val="20"/>
                <w:szCs w:val="20"/>
              </w:rPr>
              <w:t>Broj dokumenata koji su završili personalizaciju i prošli kontrolu kvaliteta; odvojeno po vrsti dokumenta.</w:t>
            </w:r>
          </w:p>
        </w:tc>
        <w:tc>
          <w:tcPr>
            <w:tcW w:w="144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104C75AD"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604B1D0D" w14:textId="77777777" w:rsidR="001F77DD" w:rsidRDefault="00D97F9C">
            <w:pPr>
              <w:spacing w:before="60" w:after="60" w:line="240" w:lineRule="auto"/>
              <w:rPr>
                <w:rFonts w:ascii="Arial" w:hAnsi="Arial" w:cs="Arial"/>
                <w:sz w:val="20"/>
                <w:szCs w:val="20"/>
              </w:rPr>
            </w:pPr>
            <w:r>
              <w:rPr>
                <w:rFonts w:ascii="Arial" w:hAnsi="Arial" w:cs="Arial"/>
                <w:sz w:val="20"/>
                <w:szCs w:val="20"/>
              </w:rPr>
              <w:t>100% urednih zahtjeva obrađeno u odobrenom roku; godišnji obim usklađen sa potražnjom i planom kapaciteta.</w:t>
            </w:r>
          </w:p>
        </w:tc>
        <w:tc>
          <w:tcPr>
            <w:tcW w:w="180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3CA66632" w14:textId="77777777" w:rsidR="001F77DD" w:rsidRDefault="00D97F9C">
            <w:pPr>
              <w:spacing w:before="60" w:after="60" w:line="240" w:lineRule="auto"/>
              <w:rPr>
                <w:rFonts w:ascii="Arial" w:hAnsi="Arial" w:cs="Arial"/>
                <w:sz w:val="20"/>
                <w:szCs w:val="20"/>
              </w:rPr>
            </w:pPr>
            <w:r>
              <w:rPr>
                <w:rFonts w:ascii="Arial" w:hAnsi="Arial" w:cs="Arial"/>
                <w:sz w:val="20"/>
                <w:szCs w:val="20"/>
              </w:rPr>
              <w:t>Proizvodni sistem; evidencije zahtjeva i kontrole kvaliteta.</w:t>
            </w:r>
          </w:p>
        </w:tc>
        <w:tc>
          <w:tcPr>
            <w:tcW w:w="172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56AB6A46" w14:textId="77777777" w:rsidR="001F77DD" w:rsidRDefault="00D97F9C">
            <w:pPr>
              <w:spacing w:before="60" w:after="60" w:line="240" w:lineRule="auto"/>
              <w:rPr>
                <w:rFonts w:ascii="Arial" w:hAnsi="Arial" w:cs="Arial"/>
                <w:sz w:val="20"/>
                <w:szCs w:val="20"/>
              </w:rPr>
            </w:pPr>
            <w:r>
              <w:rPr>
                <w:rFonts w:ascii="Arial" w:hAnsi="Arial" w:cs="Arial"/>
                <w:sz w:val="20"/>
                <w:szCs w:val="20"/>
              </w:rPr>
              <w:t>Jedinica za personalizaciju.</w:t>
            </w:r>
          </w:p>
        </w:tc>
        <w:tc>
          <w:tcPr>
            <w:tcW w:w="136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0918DEAB" w14:textId="77777777" w:rsidR="001F77DD" w:rsidRDefault="00D97F9C">
            <w:pPr>
              <w:spacing w:before="60" w:after="60" w:line="240" w:lineRule="auto"/>
              <w:rPr>
                <w:rFonts w:ascii="Arial" w:hAnsi="Arial" w:cs="Arial"/>
                <w:sz w:val="20"/>
                <w:szCs w:val="20"/>
              </w:rPr>
            </w:pPr>
            <w:r>
              <w:rPr>
                <w:rFonts w:ascii="Arial" w:hAnsi="Arial" w:cs="Arial"/>
                <w:sz w:val="20"/>
                <w:szCs w:val="20"/>
              </w:rPr>
              <w:t>Dnevno; mjesečni izvještaj.</w:t>
            </w:r>
          </w:p>
        </w:tc>
      </w:tr>
      <w:tr w:rsidR="001F77DD" w14:paraId="0CFA6527"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A07DD2D" w14:textId="77777777" w:rsidR="001F77DD" w:rsidRDefault="00D97F9C">
            <w:pPr>
              <w:spacing w:before="60" w:after="60" w:line="240" w:lineRule="auto"/>
              <w:rPr>
                <w:rFonts w:ascii="Arial" w:hAnsi="Arial" w:cs="Arial"/>
                <w:sz w:val="20"/>
                <w:szCs w:val="20"/>
              </w:rPr>
            </w:pPr>
            <w:r>
              <w:rPr>
                <w:rFonts w:ascii="Arial" w:hAnsi="Arial" w:cs="Arial"/>
                <w:sz w:val="20"/>
                <w:szCs w:val="20"/>
              </w:rPr>
              <w:t>K02 Udio škarta</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ABCF08C" w14:textId="77777777" w:rsidR="001F77DD" w:rsidRDefault="00D97F9C">
            <w:pPr>
              <w:spacing w:before="60" w:after="60" w:line="240" w:lineRule="auto"/>
              <w:rPr>
                <w:rFonts w:ascii="Arial" w:hAnsi="Arial" w:cs="Arial"/>
                <w:sz w:val="20"/>
                <w:szCs w:val="20"/>
              </w:rPr>
            </w:pPr>
            <w:r>
              <w:rPr>
                <w:rFonts w:ascii="Arial" w:hAnsi="Arial" w:cs="Arial"/>
                <w:sz w:val="20"/>
                <w:szCs w:val="20"/>
              </w:rPr>
              <w:t>Broj obrazaca/dokumenata odbačenih zbog greške personalizacije / broj obrazaca uvedenih u proces × 100; odvojiti uzroke.</w:t>
            </w:r>
          </w:p>
        </w:tc>
        <w:tc>
          <w:tcPr>
            <w:tcW w:w="14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D650599"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7949726" w14:textId="61F6C93C" w:rsidR="001F77DD" w:rsidRDefault="00D97F9C" w:rsidP="00701BD1">
            <w:pPr>
              <w:spacing w:before="60" w:after="60" w:line="240" w:lineRule="auto"/>
              <w:rPr>
                <w:rFonts w:ascii="Arial" w:hAnsi="Arial" w:cs="Arial"/>
                <w:sz w:val="20"/>
                <w:szCs w:val="20"/>
              </w:rPr>
            </w:pPr>
            <w:r>
              <w:rPr>
                <w:rFonts w:ascii="Arial" w:hAnsi="Arial" w:cs="Arial"/>
                <w:sz w:val="20"/>
                <w:szCs w:val="20"/>
              </w:rPr>
              <w:t xml:space="preserve">Stopa škarta </w:t>
            </w:r>
            <w:r w:rsidR="00701BD1">
              <w:rPr>
                <w:rFonts w:ascii="Arial" w:hAnsi="Arial" w:cs="Arial"/>
                <w:sz w:val="20"/>
                <w:szCs w:val="20"/>
              </w:rPr>
              <w:t xml:space="preserve">ispod </w:t>
            </w:r>
            <w:r w:rsidR="00524C4C">
              <w:rPr>
                <w:rFonts w:ascii="Arial" w:hAnsi="Arial" w:cs="Arial"/>
                <w:sz w:val="20"/>
                <w:szCs w:val="20"/>
              </w:rPr>
              <w:t>2</w:t>
            </w:r>
            <w:r>
              <w:rPr>
                <w:rFonts w:ascii="Arial" w:hAnsi="Arial" w:cs="Arial"/>
                <w:sz w:val="20"/>
                <w:szCs w:val="20"/>
              </w:rPr>
              <w:t>% B27, uz očuvanje sigurnosnih kriterija.</w:t>
            </w:r>
          </w:p>
        </w:tc>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A775B1B" w14:textId="77777777" w:rsidR="001F77DD" w:rsidRDefault="00D97F9C">
            <w:pPr>
              <w:spacing w:before="60" w:after="60" w:line="240" w:lineRule="auto"/>
              <w:rPr>
                <w:rFonts w:ascii="Arial" w:hAnsi="Arial" w:cs="Arial"/>
                <w:sz w:val="20"/>
                <w:szCs w:val="20"/>
              </w:rPr>
            </w:pPr>
            <w:r>
              <w:rPr>
                <w:rFonts w:ascii="Arial" w:hAnsi="Arial" w:cs="Arial"/>
                <w:sz w:val="20"/>
                <w:szCs w:val="20"/>
              </w:rPr>
              <w:t>Proizvodne evidencije; zapisnici kontrole i uništavanja.</w:t>
            </w:r>
          </w:p>
        </w:tc>
        <w:tc>
          <w:tcPr>
            <w:tcW w:w="172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FEEED88" w14:textId="77777777" w:rsidR="001F77DD" w:rsidRDefault="00D97F9C">
            <w:pPr>
              <w:spacing w:before="60" w:after="60" w:line="240" w:lineRule="auto"/>
              <w:rPr>
                <w:rFonts w:ascii="Arial" w:hAnsi="Arial" w:cs="Arial"/>
                <w:sz w:val="20"/>
                <w:szCs w:val="20"/>
              </w:rPr>
            </w:pPr>
            <w:r>
              <w:rPr>
                <w:rFonts w:ascii="Arial" w:hAnsi="Arial" w:cs="Arial"/>
                <w:sz w:val="20"/>
                <w:szCs w:val="20"/>
              </w:rPr>
              <w:t>Personalizacija i kontrola kvaliteta.</w:t>
            </w:r>
          </w:p>
        </w:tc>
        <w:tc>
          <w:tcPr>
            <w:tcW w:w="136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C1B4243" w14:textId="77777777" w:rsidR="001F77DD" w:rsidRDefault="00D97F9C">
            <w:pPr>
              <w:spacing w:before="60" w:after="60" w:line="240" w:lineRule="auto"/>
              <w:rPr>
                <w:rFonts w:ascii="Arial" w:hAnsi="Arial" w:cs="Arial"/>
                <w:sz w:val="20"/>
                <w:szCs w:val="20"/>
              </w:rPr>
            </w:pPr>
            <w:r>
              <w:rPr>
                <w:rFonts w:ascii="Arial" w:hAnsi="Arial" w:cs="Arial"/>
                <w:sz w:val="20"/>
                <w:szCs w:val="20"/>
              </w:rPr>
              <w:t>Mjesečno.</w:t>
            </w:r>
          </w:p>
        </w:tc>
      </w:tr>
      <w:tr w:rsidR="001F77DD" w14:paraId="19A2D822"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0879EF95" w14:textId="77777777" w:rsidR="001F77DD" w:rsidRDefault="00D97F9C">
            <w:pPr>
              <w:spacing w:before="60" w:after="60" w:line="240" w:lineRule="auto"/>
              <w:rPr>
                <w:rFonts w:ascii="Arial" w:hAnsi="Arial" w:cs="Arial"/>
                <w:sz w:val="20"/>
                <w:szCs w:val="20"/>
              </w:rPr>
            </w:pPr>
            <w:r>
              <w:rPr>
                <w:rFonts w:ascii="Arial" w:hAnsi="Arial" w:cs="Arial"/>
                <w:sz w:val="20"/>
                <w:szCs w:val="20"/>
              </w:rPr>
              <w:t>K03 Vrijeme personalizacije</w:t>
            </w:r>
          </w:p>
        </w:tc>
        <w:tc>
          <w:tcPr>
            <w:tcW w:w="3384"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48E8E82B" w14:textId="2AA70D40" w:rsidR="001F77DD" w:rsidRDefault="00701BD1">
            <w:pPr>
              <w:spacing w:before="60" w:after="60" w:line="240" w:lineRule="auto"/>
              <w:rPr>
                <w:rFonts w:ascii="Arial" w:hAnsi="Arial" w:cs="Arial"/>
                <w:sz w:val="20"/>
                <w:szCs w:val="20"/>
              </w:rPr>
            </w:pPr>
            <w:r>
              <w:rPr>
                <w:rFonts w:ascii="Arial" w:hAnsi="Arial" w:cs="Arial"/>
                <w:sz w:val="20"/>
                <w:szCs w:val="20"/>
              </w:rPr>
              <w:t>Vrijeme</w:t>
            </w:r>
            <w:r w:rsidR="00D97F9C">
              <w:rPr>
                <w:rFonts w:ascii="Arial" w:hAnsi="Arial" w:cs="Arial"/>
                <w:sz w:val="20"/>
                <w:szCs w:val="20"/>
              </w:rPr>
              <w:t xml:space="preserve"> od ulaska urednog zahtjeva u red personalizacije do uspješne kontrole kvaliteta.</w:t>
            </w:r>
          </w:p>
        </w:tc>
        <w:tc>
          <w:tcPr>
            <w:tcW w:w="144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2A1F8693"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167A7DC9" w14:textId="77777777" w:rsidR="001F77DD" w:rsidRDefault="00D97F9C">
            <w:pPr>
              <w:spacing w:before="60" w:after="60" w:line="240" w:lineRule="auto"/>
              <w:rPr>
                <w:rFonts w:ascii="Arial" w:hAnsi="Arial" w:cs="Arial"/>
                <w:sz w:val="20"/>
                <w:szCs w:val="20"/>
              </w:rPr>
            </w:pPr>
            <w:r>
              <w:rPr>
                <w:rFonts w:ascii="Arial" w:hAnsi="Arial" w:cs="Arial"/>
                <w:sz w:val="20"/>
                <w:szCs w:val="20"/>
              </w:rPr>
              <w:t>P95 ≤80% B27, bez smanjenja kvaliteta.</w:t>
            </w:r>
          </w:p>
        </w:tc>
        <w:tc>
          <w:tcPr>
            <w:tcW w:w="180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74384D53" w14:textId="77777777" w:rsidR="001F77DD" w:rsidRDefault="00D97F9C">
            <w:pPr>
              <w:spacing w:before="60" w:after="60" w:line="240" w:lineRule="auto"/>
              <w:rPr>
                <w:rFonts w:ascii="Arial" w:hAnsi="Arial" w:cs="Arial"/>
                <w:sz w:val="20"/>
                <w:szCs w:val="20"/>
              </w:rPr>
            </w:pPr>
            <w:r>
              <w:rPr>
                <w:rFonts w:ascii="Arial" w:hAnsi="Arial" w:cs="Arial"/>
                <w:sz w:val="20"/>
                <w:szCs w:val="20"/>
              </w:rPr>
              <w:t>Vremenske oznake proizvodnog sistema.</w:t>
            </w:r>
          </w:p>
        </w:tc>
        <w:tc>
          <w:tcPr>
            <w:tcW w:w="172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2EFB6A08" w14:textId="77777777" w:rsidR="001F77DD" w:rsidRDefault="00D97F9C">
            <w:pPr>
              <w:spacing w:before="60" w:after="60" w:line="240" w:lineRule="auto"/>
              <w:rPr>
                <w:rFonts w:ascii="Arial" w:hAnsi="Arial" w:cs="Arial"/>
                <w:sz w:val="20"/>
                <w:szCs w:val="20"/>
              </w:rPr>
            </w:pPr>
            <w:r>
              <w:rPr>
                <w:rFonts w:ascii="Arial" w:hAnsi="Arial" w:cs="Arial"/>
                <w:sz w:val="20"/>
                <w:szCs w:val="20"/>
              </w:rPr>
              <w:t>Jedinica za personalizaciju.</w:t>
            </w:r>
          </w:p>
        </w:tc>
        <w:tc>
          <w:tcPr>
            <w:tcW w:w="136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7E1F7890" w14:textId="77777777" w:rsidR="001F77DD" w:rsidRDefault="00D97F9C">
            <w:pPr>
              <w:spacing w:before="60" w:after="60" w:line="240" w:lineRule="auto"/>
              <w:rPr>
                <w:rFonts w:ascii="Arial" w:hAnsi="Arial" w:cs="Arial"/>
                <w:sz w:val="20"/>
                <w:szCs w:val="20"/>
              </w:rPr>
            </w:pPr>
            <w:r>
              <w:rPr>
                <w:rFonts w:ascii="Arial" w:hAnsi="Arial" w:cs="Arial"/>
                <w:sz w:val="20"/>
                <w:szCs w:val="20"/>
              </w:rPr>
              <w:t>Kontinuirano; mjesečno.</w:t>
            </w:r>
          </w:p>
        </w:tc>
      </w:tr>
      <w:tr w:rsidR="001F77DD" w14:paraId="174A5404"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315345A" w14:textId="77777777" w:rsidR="001F77DD" w:rsidRDefault="00D97F9C">
            <w:pPr>
              <w:spacing w:before="60" w:after="60" w:line="240" w:lineRule="auto"/>
              <w:rPr>
                <w:rFonts w:ascii="Arial" w:hAnsi="Arial" w:cs="Arial"/>
                <w:sz w:val="20"/>
                <w:szCs w:val="20"/>
              </w:rPr>
            </w:pPr>
            <w:r>
              <w:rPr>
                <w:rFonts w:ascii="Arial" w:hAnsi="Arial" w:cs="Arial"/>
                <w:sz w:val="20"/>
                <w:szCs w:val="20"/>
              </w:rPr>
              <w:t>K04 Sljedivost obrazaca</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F86410E" w14:textId="77777777" w:rsidR="001F77DD" w:rsidRDefault="00D97F9C">
            <w:pPr>
              <w:spacing w:before="60" w:after="60" w:line="240" w:lineRule="auto"/>
              <w:rPr>
                <w:rFonts w:ascii="Arial" w:hAnsi="Arial" w:cs="Arial"/>
                <w:sz w:val="20"/>
                <w:szCs w:val="20"/>
              </w:rPr>
            </w:pPr>
            <w:r>
              <w:rPr>
                <w:rFonts w:ascii="Arial" w:hAnsi="Arial" w:cs="Arial"/>
                <w:sz w:val="20"/>
                <w:szCs w:val="20"/>
              </w:rPr>
              <w:t>Broj obrazaca sa potpunom evidencijom prijema, kretanja, personalizacije ili uništavanja / svi obuhvaćeni obrasci × 100.</w:t>
            </w:r>
          </w:p>
        </w:tc>
        <w:tc>
          <w:tcPr>
            <w:tcW w:w="14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C7A8031"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294A3EE" w14:textId="77777777" w:rsidR="001F77DD" w:rsidRDefault="00D97F9C">
            <w:pPr>
              <w:spacing w:before="60" w:after="60" w:line="240" w:lineRule="auto"/>
              <w:rPr>
                <w:rFonts w:ascii="Arial" w:hAnsi="Arial" w:cs="Arial"/>
                <w:sz w:val="20"/>
                <w:szCs w:val="20"/>
              </w:rPr>
            </w:pPr>
            <w:r>
              <w:rPr>
                <w:rFonts w:ascii="Arial" w:hAnsi="Arial" w:cs="Arial"/>
                <w:sz w:val="20"/>
                <w:szCs w:val="20"/>
              </w:rPr>
              <w:t>100% sljedivosti.</w:t>
            </w:r>
          </w:p>
        </w:tc>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B61A9EB" w14:textId="77777777" w:rsidR="001F77DD" w:rsidRDefault="00D97F9C">
            <w:pPr>
              <w:spacing w:before="60" w:after="60" w:line="240" w:lineRule="auto"/>
              <w:rPr>
                <w:rFonts w:ascii="Arial" w:hAnsi="Arial" w:cs="Arial"/>
                <w:sz w:val="20"/>
                <w:szCs w:val="20"/>
              </w:rPr>
            </w:pPr>
            <w:r>
              <w:rPr>
                <w:rFonts w:ascii="Arial" w:hAnsi="Arial" w:cs="Arial"/>
                <w:sz w:val="20"/>
                <w:szCs w:val="20"/>
              </w:rPr>
              <w:t>Evidencije obrazaca; skladište; proizvodnja; zapisnici uništavanja.</w:t>
            </w:r>
          </w:p>
        </w:tc>
        <w:tc>
          <w:tcPr>
            <w:tcW w:w="172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CC068A6" w14:textId="77777777" w:rsidR="001F77DD" w:rsidRDefault="00D97F9C">
            <w:pPr>
              <w:spacing w:before="60" w:after="60" w:line="240" w:lineRule="auto"/>
              <w:rPr>
                <w:rFonts w:ascii="Arial" w:hAnsi="Arial" w:cs="Arial"/>
                <w:sz w:val="20"/>
                <w:szCs w:val="20"/>
              </w:rPr>
            </w:pPr>
            <w:r>
              <w:rPr>
                <w:rFonts w:ascii="Arial" w:hAnsi="Arial" w:cs="Arial"/>
                <w:sz w:val="20"/>
                <w:szCs w:val="20"/>
              </w:rPr>
              <w:t>Personalizacija i upravljanje zalihama.</w:t>
            </w:r>
          </w:p>
        </w:tc>
        <w:tc>
          <w:tcPr>
            <w:tcW w:w="136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C7B7EB2" w14:textId="77777777" w:rsidR="001F77DD" w:rsidRDefault="00D97F9C">
            <w:pPr>
              <w:spacing w:before="60" w:after="60" w:line="240" w:lineRule="auto"/>
              <w:rPr>
                <w:rFonts w:ascii="Arial" w:hAnsi="Arial" w:cs="Arial"/>
                <w:sz w:val="20"/>
                <w:szCs w:val="20"/>
              </w:rPr>
            </w:pPr>
            <w:r>
              <w:rPr>
                <w:rFonts w:ascii="Arial" w:hAnsi="Arial" w:cs="Arial"/>
                <w:sz w:val="20"/>
                <w:szCs w:val="20"/>
              </w:rPr>
              <w:t>Mjesečno; godišnja provjera.</w:t>
            </w:r>
          </w:p>
        </w:tc>
      </w:tr>
    </w:tbl>
    <w:p w14:paraId="33D705F5" w14:textId="77777777" w:rsidR="001F77DD" w:rsidRDefault="00D97F9C">
      <w:pPr>
        <w:rPr>
          <w:rFonts w:ascii="Arial" w:hAnsi="Arial" w:cs="Arial"/>
          <w:sz w:val="20"/>
          <w:szCs w:val="20"/>
        </w:rPr>
      </w:pPr>
      <w:r>
        <w:rPr>
          <w:rFonts w:ascii="Arial" w:hAnsi="Arial" w:cs="Arial"/>
          <w:sz w:val="20"/>
          <w:szCs w:val="20"/>
        </w:rPr>
        <w:br w:type="page" w:clear="all"/>
      </w:r>
    </w:p>
    <w:p w14:paraId="5B0C44FF" w14:textId="77777777" w:rsidR="001F77DD" w:rsidRDefault="00D97F9C">
      <w:pPr>
        <w:pStyle w:val="Heading1"/>
        <w:rPr>
          <w:sz w:val="20"/>
          <w:szCs w:val="20"/>
        </w:rPr>
      </w:pPr>
      <w:r>
        <w:rPr>
          <w:sz w:val="20"/>
          <w:szCs w:val="20"/>
        </w:rPr>
        <w:lastRenderedPageBreak/>
        <w:t>SC2 Centralne evidencije i performanse sistema</w:t>
      </w:r>
    </w:p>
    <w:tbl>
      <w:tblPr>
        <w:tblW w:w="0" w:type="auto"/>
        <w:jc w:val="center"/>
        <w:tblLayout w:type="fixed"/>
        <w:tblLook w:val="04A0" w:firstRow="1" w:lastRow="0" w:firstColumn="1" w:lastColumn="0" w:noHBand="0" w:noVBand="1"/>
      </w:tblPr>
      <w:tblGrid>
        <w:gridCol w:w="1872"/>
        <w:gridCol w:w="3384"/>
        <w:gridCol w:w="1440"/>
        <w:gridCol w:w="2952"/>
        <w:gridCol w:w="1800"/>
        <w:gridCol w:w="1728"/>
        <w:gridCol w:w="1368"/>
      </w:tblGrid>
      <w:tr w:rsidR="001F77DD" w14:paraId="1985D1C1" w14:textId="77777777">
        <w:trPr>
          <w:cantSplit/>
          <w:tblHeader/>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00BFBEEF" w14:textId="77777777" w:rsidR="001F77DD" w:rsidRDefault="00D97F9C">
            <w:pPr>
              <w:spacing w:before="60" w:after="60" w:line="240" w:lineRule="auto"/>
              <w:rPr>
                <w:rFonts w:ascii="Arial" w:hAnsi="Arial" w:cs="Arial"/>
                <w:sz w:val="20"/>
                <w:szCs w:val="20"/>
              </w:rPr>
            </w:pPr>
            <w:r>
              <w:rPr>
                <w:rFonts w:ascii="Arial" w:hAnsi="Arial" w:cs="Arial"/>
                <w:b/>
                <w:sz w:val="20"/>
                <w:szCs w:val="20"/>
              </w:rPr>
              <w:t>Naziv indikatora</w:t>
            </w:r>
          </w:p>
        </w:tc>
        <w:tc>
          <w:tcPr>
            <w:tcW w:w="3384"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570C9790" w14:textId="77777777" w:rsidR="001F77DD" w:rsidRDefault="00D97F9C">
            <w:pPr>
              <w:spacing w:before="60" w:after="60" w:line="240" w:lineRule="auto"/>
              <w:rPr>
                <w:rFonts w:ascii="Arial" w:hAnsi="Arial" w:cs="Arial"/>
                <w:sz w:val="20"/>
                <w:szCs w:val="20"/>
              </w:rPr>
            </w:pPr>
            <w:r>
              <w:rPr>
                <w:rFonts w:ascii="Arial" w:hAnsi="Arial" w:cs="Arial"/>
                <w:b/>
                <w:sz w:val="20"/>
                <w:szCs w:val="20"/>
              </w:rPr>
              <w:t>Definicija i obračun</w:t>
            </w:r>
          </w:p>
        </w:tc>
        <w:tc>
          <w:tcPr>
            <w:tcW w:w="1440"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191F46C2" w14:textId="77777777" w:rsidR="001F77DD" w:rsidRDefault="00D97F9C">
            <w:pPr>
              <w:spacing w:before="60" w:after="60" w:line="240" w:lineRule="auto"/>
              <w:rPr>
                <w:rFonts w:ascii="Arial" w:hAnsi="Arial" w:cs="Arial"/>
                <w:sz w:val="20"/>
                <w:szCs w:val="20"/>
              </w:rPr>
            </w:pPr>
            <w:r>
              <w:rPr>
                <w:rFonts w:ascii="Arial" w:hAnsi="Arial" w:cs="Arial"/>
                <w:b/>
                <w:sz w:val="20"/>
                <w:szCs w:val="20"/>
              </w:rPr>
              <w:t>Baseline</w:t>
            </w:r>
          </w:p>
        </w:tc>
        <w:tc>
          <w:tcPr>
            <w:tcW w:w="2952"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5FEA3E71" w14:textId="77777777" w:rsidR="001F77DD" w:rsidRDefault="00D97F9C">
            <w:pPr>
              <w:spacing w:before="60" w:after="60" w:line="240" w:lineRule="auto"/>
              <w:rPr>
                <w:rFonts w:ascii="Arial" w:hAnsi="Arial" w:cs="Arial"/>
                <w:sz w:val="20"/>
                <w:szCs w:val="20"/>
              </w:rPr>
            </w:pPr>
            <w:r>
              <w:rPr>
                <w:rFonts w:ascii="Arial" w:hAnsi="Arial" w:cs="Arial"/>
                <w:b/>
                <w:sz w:val="20"/>
                <w:szCs w:val="20"/>
              </w:rPr>
              <w:t>Cilj</w:t>
            </w:r>
          </w:p>
        </w:tc>
        <w:tc>
          <w:tcPr>
            <w:tcW w:w="1800"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386A5735" w14:textId="77777777" w:rsidR="001F77DD" w:rsidRDefault="00D97F9C">
            <w:pPr>
              <w:spacing w:before="60" w:after="60" w:line="240" w:lineRule="auto"/>
              <w:rPr>
                <w:rFonts w:ascii="Arial" w:hAnsi="Arial" w:cs="Arial"/>
                <w:sz w:val="20"/>
                <w:szCs w:val="20"/>
              </w:rPr>
            </w:pPr>
            <w:r>
              <w:rPr>
                <w:rFonts w:ascii="Arial" w:hAnsi="Arial" w:cs="Arial"/>
                <w:b/>
                <w:sz w:val="20"/>
                <w:szCs w:val="20"/>
              </w:rPr>
              <w:t>Izvor podataka</w:t>
            </w:r>
          </w:p>
        </w:tc>
        <w:tc>
          <w:tcPr>
            <w:tcW w:w="1728"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62A06425" w14:textId="77777777" w:rsidR="001F77DD" w:rsidRDefault="00D97F9C">
            <w:pPr>
              <w:spacing w:before="60" w:after="60" w:line="240" w:lineRule="auto"/>
              <w:rPr>
                <w:rFonts w:ascii="Arial" w:hAnsi="Arial" w:cs="Arial"/>
                <w:sz w:val="20"/>
                <w:szCs w:val="20"/>
              </w:rPr>
            </w:pPr>
            <w:r>
              <w:rPr>
                <w:rFonts w:ascii="Arial" w:hAnsi="Arial" w:cs="Arial"/>
                <w:b/>
                <w:sz w:val="20"/>
                <w:szCs w:val="20"/>
              </w:rPr>
              <w:t>Vlasnik</w:t>
            </w:r>
          </w:p>
        </w:tc>
        <w:tc>
          <w:tcPr>
            <w:tcW w:w="1368"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3E2EBBC1" w14:textId="77777777" w:rsidR="001F77DD" w:rsidRDefault="00D97F9C">
            <w:pPr>
              <w:spacing w:before="60" w:after="60" w:line="240" w:lineRule="auto"/>
              <w:rPr>
                <w:rFonts w:ascii="Arial" w:hAnsi="Arial" w:cs="Arial"/>
                <w:sz w:val="20"/>
                <w:szCs w:val="20"/>
              </w:rPr>
            </w:pPr>
            <w:r>
              <w:rPr>
                <w:rFonts w:ascii="Arial" w:hAnsi="Arial" w:cs="Arial"/>
                <w:b/>
                <w:sz w:val="20"/>
                <w:szCs w:val="20"/>
              </w:rPr>
              <w:t>Učestalost</w:t>
            </w:r>
          </w:p>
        </w:tc>
      </w:tr>
      <w:tr w:rsidR="001F77DD" w14:paraId="3DCCAAB6"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0319D4CD" w14:textId="77777777" w:rsidR="001F77DD" w:rsidRDefault="00D97F9C">
            <w:pPr>
              <w:spacing w:before="60" w:after="60" w:line="240" w:lineRule="auto"/>
              <w:rPr>
                <w:rFonts w:ascii="Arial" w:hAnsi="Arial" w:cs="Arial"/>
                <w:sz w:val="20"/>
                <w:szCs w:val="20"/>
              </w:rPr>
            </w:pPr>
            <w:r>
              <w:rPr>
                <w:rFonts w:ascii="Arial" w:hAnsi="Arial" w:cs="Arial"/>
                <w:sz w:val="20"/>
                <w:szCs w:val="20"/>
              </w:rPr>
              <w:t>K05 Raspoloživost kritičnih sistema</w:t>
            </w:r>
          </w:p>
        </w:tc>
        <w:tc>
          <w:tcPr>
            <w:tcW w:w="3384"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110570B3" w14:textId="77777777" w:rsidR="001F77DD" w:rsidRDefault="00D97F9C">
            <w:pPr>
              <w:spacing w:before="60" w:after="60" w:line="240" w:lineRule="auto"/>
              <w:rPr>
                <w:rFonts w:ascii="Arial" w:hAnsi="Arial" w:cs="Arial"/>
                <w:sz w:val="20"/>
                <w:szCs w:val="20"/>
              </w:rPr>
            </w:pPr>
            <w:r>
              <w:rPr>
                <w:rFonts w:ascii="Arial" w:hAnsi="Arial" w:cs="Arial"/>
                <w:sz w:val="20"/>
                <w:szCs w:val="20"/>
              </w:rPr>
              <w:t>Procenat raspoloživosti centralnih evidencija i aplikativnih servisa, zasebno za svaki kritični sistem.</w:t>
            </w:r>
          </w:p>
        </w:tc>
        <w:tc>
          <w:tcPr>
            <w:tcW w:w="144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18C14DA9"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4ACD1393" w14:textId="77777777" w:rsidR="001F77DD" w:rsidRDefault="00D97F9C">
            <w:pPr>
              <w:spacing w:before="60" w:after="60" w:line="240" w:lineRule="auto"/>
              <w:rPr>
                <w:rFonts w:ascii="Arial" w:hAnsi="Arial" w:cs="Arial"/>
                <w:sz w:val="20"/>
                <w:szCs w:val="20"/>
              </w:rPr>
            </w:pPr>
            <w:r>
              <w:rPr>
                <w:rFonts w:ascii="Arial" w:hAnsi="Arial" w:cs="Arial"/>
                <w:sz w:val="20"/>
                <w:szCs w:val="20"/>
              </w:rPr>
              <w:t>≥99,9% za svaki kritični sistem.</w:t>
            </w:r>
          </w:p>
        </w:tc>
        <w:tc>
          <w:tcPr>
            <w:tcW w:w="180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3874DDAC" w14:textId="77777777" w:rsidR="001F77DD" w:rsidRDefault="00D97F9C">
            <w:pPr>
              <w:spacing w:before="60" w:after="60" w:line="240" w:lineRule="auto"/>
              <w:rPr>
                <w:rFonts w:ascii="Arial" w:hAnsi="Arial" w:cs="Arial"/>
                <w:sz w:val="20"/>
                <w:szCs w:val="20"/>
              </w:rPr>
            </w:pPr>
            <w:r>
              <w:rPr>
                <w:rFonts w:ascii="Arial" w:hAnsi="Arial" w:cs="Arial"/>
                <w:sz w:val="20"/>
                <w:szCs w:val="20"/>
              </w:rPr>
              <w:t>Nadzor dostupnosti; sistemski logovi; SLA izvještaji.</w:t>
            </w:r>
          </w:p>
        </w:tc>
        <w:tc>
          <w:tcPr>
            <w:tcW w:w="172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7668DF35" w14:textId="77777777" w:rsidR="001F77DD" w:rsidRDefault="00D97F9C">
            <w:pPr>
              <w:spacing w:before="60" w:after="60" w:line="240" w:lineRule="auto"/>
              <w:rPr>
                <w:rFonts w:ascii="Arial" w:hAnsi="Arial" w:cs="Arial"/>
                <w:sz w:val="20"/>
                <w:szCs w:val="20"/>
              </w:rPr>
            </w:pPr>
            <w:r>
              <w:rPr>
                <w:rFonts w:ascii="Arial" w:hAnsi="Arial" w:cs="Arial"/>
                <w:sz w:val="20"/>
                <w:szCs w:val="20"/>
              </w:rPr>
              <w:t>Tehnički sektor – vlasnik sistema.</w:t>
            </w:r>
          </w:p>
        </w:tc>
        <w:tc>
          <w:tcPr>
            <w:tcW w:w="136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3047D849" w14:textId="77777777" w:rsidR="001F77DD" w:rsidRDefault="00D97F9C">
            <w:pPr>
              <w:spacing w:before="60" w:after="60" w:line="240" w:lineRule="auto"/>
              <w:rPr>
                <w:rFonts w:ascii="Arial" w:hAnsi="Arial" w:cs="Arial"/>
                <w:sz w:val="20"/>
                <w:szCs w:val="20"/>
              </w:rPr>
            </w:pPr>
            <w:r>
              <w:rPr>
                <w:rFonts w:ascii="Arial" w:hAnsi="Arial" w:cs="Arial"/>
                <w:sz w:val="20"/>
                <w:szCs w:val="20"/>
              </w:rPr>
              <w:t>Kontinuirano; mjesečno.</w:t>
            </w:r>
          </w:p>
        </w:tc>
      </w:tr>
      <w:tr w:rsidR="001F77DD" w14:paraId="6FBDDA89"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2B036B9" w14:textId="77777777" w:rsidR="001F77DD" w:rsidRDefault="00D97F9C">
            <w:pPr>
              <w:spacing w:before="60" w:after="60" w:line="240" w:lineRule="auto"/>
              <w:rPr>
                <w:rFonts w:ascii="Arial" w:hAnsi="Arial" w:cs="Arial"/>
                <w:sz w:val="20"/>
                <w:szCs w:val="20"/>
              </w:rPr>
            </w:pPr>
            <w:r>
              <w:rPr>
                <w:rFonts w:ascii="Arial" w:hAnsi="Arial" w:cs="Arial"/>
                <w:sz w:val="20"/>
                <w:szCs w:val="20"/>
              </w:rPr>
              <w:t>K06 Vrijeme odgovora servisa</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D30078A" w14:textId="77777777" w:rsidR="001F77DD" w:rsidRDefault="00D97F9C">
            <w:pPr>
              <w:spacing w:before="60" w:after="60" w:line="240" w:lineRule="auto"/>
              <w:rPr>
                <w:rFonts w:ascii="Arial" w:hAnsi="Arial" w:cs="Arial"/>
                <w:sz w:val="20"/>
                <w:szCs w:val="20"/>
              </w:rPr>
            </w:pPr>
            <w:r>
              <w:rPr>
                <w:rFonts w:ascii="Arial" w:hAnsi="Arial" w:cs="Arial"/>
                <w:sz w:val="20"/>
                <w:szCs w:val="20"/>
              </w:rPr>
              <w:t>P95 trajanja od prijema tehnički ispravnog zahtjeva do odgovora; po API-ju i uporedivom opterećenju. Greške pratiti odvojeno.</w:t>
            </w:r>
          </w:p>
        </w:tc>
        <w:tc>
          <w:tcPr>
            <w:tcW w:w="14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69DF2AE"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473C3DE" w14:textId="77777777" w:rsidR="001F77DD" w:rsidRDefault="00D97F9C">
            <w:pPr>
              <w:spacing w:before="60" w:after="60" w:line="240" w:lineRule="auto"/>
              <w:rPr>
                <w:rFonts w:ascii="Arial" w:hAnsi="Arial" w:cs="Arial"/>
                <w:sz w:val="20"/>
                <w:szCs w:val="20"/>
              </w:rPr>
            </w:pPr>
            <w:r>
              <w:rPr>
                <w:rFonts w:ascii="Arial" w:hAnsi="Arial" w:cs="Arial"/>
                <w:sz w:val="20"/>
                <w:szCs w:val="20"/>
              </w:rPr>
              <w:t>P95 u odobrenom SLA-u; za servise izvan SLA-a smanjenje ≥20% u odnosu na B27.</w:t>
            </w:r>
          </w:p>
        </w:tc>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82E0081" w14:textId="77777777" w:rsidR="001F77DD" w:rsidRDefault="00D97F9C">
            <w:pPr>
              <w:spacing w:before="60" w:after="60" w:line="240" w:lineRule="auto"/>
              <w:rPr>
                <w:rFonts w:ascii="Arial" w:hAnsi="Arial" w:cs="Arial"/>
                <w:sz w:val="20"/>
                <w:szCs w:val="20"/>
              </w:rPr>
            </w:pPr>
            <w:r>
              <w:rPr>
                <w:rFonts w:ascii="Arial" w:hAnsi="Arial" w:cs="Arial"/>
                <w:sz w:val="20"/>
                <w:szCs w:val="20"/>
              </w:rPr>
              <w:t>APM; API logovi; testovi opterećenja.</w:t>
            </w:r>
          </w:p>
        </w:tc>
        <w:tc>
          <w:tcPr>
            <w:tcW w:w="172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7D61B39" w14:textId="77777777" w:rsidR="001F77DD" w:rsidRDefault="00D97F9C">
            <w:pPr>
              <w:spacing w:before="60" w:after="60" w:line="240" w:lineRule="auto"/>
              <w:rPr>
                <w:rFonts w:ascii="Arial" w:hAnsi="Arial" w:cs="Arial"/>
                <w:sz w:val="20"/>
                <w:szCs w:val="20"/>
              </w:rPr>
            </w:pPr>
            <w:r>
              <w:rPr>
                <w:rFonts w:ascii="Arial" w:hAnsi="Arial" w:cs="Arial"/>
                <w:sz w:val="20"/>
                <w:szCs w:val="20"/>
              </w:rPr>
              <w:t>Tehnički sektor – aplikacije i baze.</w:t>
            </w:r>
          </w:p>
        </w:tc>
        <w:tc>
          <w:tcPr>
            <w:tcW w:w="136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BDF22B0" w14:textId="77777777" w:rsidR="001F77DD" w:rsidRDefault="00D97F9C">
            <w:pPr>
              <w:spacing w:before="60" w:after="60" w:line="240" w:lineRule="auto"/>
              <w:rPr>
                <w:rFonts w:ascii="Arial" w:hAnsi="Arial" w:cs="Arial"/>
                <w:sz w:val="20"/>
                <w:szCs w:val="20"/>
              </w:rPr>
            </w:pPr>
            <w:r>
              <w:rPr>
                <w:rFonts w:ascii="Arial" w:hAnsi="Arial" w:cs="Arial"/>
                <w:sz w:val="20"/>
                <w:szCs w:val="20"/>
              </w:rPr>
              <w:t>Kontinuirano; mjesečno.</w:t>
            </w:r>
          </w:p>
        </w:tc>
      </w:tr>
      <w:tr w:rsidR="001F77DD" w14:paraId="6175B27A"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56B35065" w14:textId="77777777" w:rsidR="001F77DD" w:rsidRDefault="00D97F9C">
            <w:pPr>
              <w:spacing w:before="60" w:after="60" w:line="240" w:lineRule="auto"/>
              <w:rPr>
                <w:rFonts w:ascii="Arial" w:hAnsi="Arial" w:cs="Arial"/>
                <w:sz w:val="20"/>
                <w:szCs w:val="20"/>
              </w:rPr>
            </w:pPr>
            <w:r>
              <w:rPr>
                <w:rFonts w:ascii="Arial" w:hAnsi="Arial" w:cs="Arial"/>
                <w:sz w:val="20"/>
                <w:szCs w:val="20"/>
              </w:rPr>
              <w:t>K07 Otklanjanje grešaka u podacima</w:t>
            </w:r>
          </w:p>
        </w:tc>
        <w:tc>
          <w:tcPr>
            <w:tcW w:w="3384"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38201FB6" w14:textId="77777777" w:rsidR="001F77DD" w:rsidRDefault="00D97F9C">
            <w:pPr>
              <w:spacing w:before="60" w:after="60" w:line="240" w:lineRule="auto"/>
              <w:rPr>
                <w:rFonts w:ascii="Arial" w:hAnsi="Arial" w:cs="Arial"/>
                <w:sz w:val="20"/>
                <w:szCs w:val="20"/>
              </w:rPr>
            </w:pPr>
            <w:r>
              <w:rPr>
                <w:rFonts w:ascii="Arial" w:hAnsi="Arial" w:cs="Arial"/>
                <w:sz w:val="20"/>
                <w:szCs w:val="20"/>
              </w:rPr>
              <w:t>Broj grešaka otklonjenih u roku / broj potvrđenih grešaka čiji rok ističe u periodu × 100; razdvojiti tehničke i izvorne greške.</w:t>
            </w:r>
          </w:p>
        </w:tc>
        <w:tc>
          <w:tcPr>
            <w:tcW w:w="144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436D6DF9"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5820AFAA" w14:textId="77777777" w:rsidR="001F77DD" w:rsidRDefault="00D97F9C">
            <w:pPr>
              <w:spacing w:before="60" w:after="60" w:line="240" w:lineRule="auto"/>
              <w:rPr>
                <w:rFonts w:ascii="Arial" w:hAnsi="Arial" w:cs="Arial"/>
                <w:sz w:val="20"/>
                <w:szCs w:val="20"/>
              </w:rPr>
            </w:pPr>
            <w:r>
              <w:rPr>
                <w:rFonts w:ascii="Arial" w:hAnsi="Arial" w:cs="Arial"/>
                <w:sz w:val="20"/>
                <w:szCs w:val="20"/>
              </w:rPr>
              <w:t>≥95% u utvrđenom roku; izvorne ispravke provodi nadležni organ.</w:t>
            </w:r>
          </w:p>
        </w:tc>
        <w:tc>
          <w:tcPr>
            <w:tcW w:w="180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78FFEE29" w14:textId="77777777" w:rsidR="001F77DD" w:rsidRDefault="00D97F9C">
            <w:pPr>
              <w:spacing w:before="60" w:after="60" w:line="240" w:lineRule="auto"/>
              <w:rPr>
                <w:rFonts w:ascii="Arial" w:hAnsi="Arial" w:cs="Arial"/>
                <w:sz w:val="20"/>
                <w:szCs w:val="20"/>
              </w:rPr>
            </w:pPr>
            <w:r>
              <w:rPr>
                <w:rFonts w:ascii="Arial" w:hAnsi="Arial" w:cs="Arial"/>
                <w:sz w:val="20"/>
                <w:szCs w:val="20"/>
              </w:rPr>
              <w:t>Registar grešaka; zahtjevi nadležnih organa; audit zapisi.</w:t>
            </w:r>
          </w:p>
        </w:tc>
        <w:tc>
          <w:tcPr>
            <w:tcW w:w="172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0D60A032" w14:textId="77777777" w:rsidR="001F77DD" w:rsidRDefault="00D97F9C">
            <w:pPr>
              <w:spacing w:before="60" w:after="60" w:line="240" w:lineRule="auto"/>
              <w:rPr>
                <w:rFonts w:ascii="Arial" w:hAnsi="Arial" w:cs="Arial"/>
                <w:sz w:val="20"/>
                <w:szCs w:val="20"/>
              </w:rPr>
            </w:pPr>
            <w:r>
              <w:rPr>
                <w:rFonts w:ascii="Arial" w:hAnsi="Arial" w:cs="Arial"/>
                <w:sz w:val="20"/>
                <w:szCs w:val="20"/>
              </w:rPr>
              <w:t>Tehnički sektor, uz nadležne izvorne organe.</w:t>
            </w:r>
          </w:p>
        </w:tc>
        <w:tc>
          <w:tcPr>
            <w:tcW w:w="136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4EEE5709" w14:textId="77777777" w:rsidR="001F77DD" w:rsidRDefault="00D97F9C">
            <w:pPr>
              <w:spacing w:before="60" w:after="60" w:line="240" w:lineRule="auto"/>
              <w:rPr>
                <w:rFonts w:ascii="Arial" w:hAnsi="Arial" w:cs="Arial"/>
                <w:sz w:val="20"/>
                <w:szCs w:val="20"/>
              </w:rPr>
            </w:pPr>
            <w:r>
              <w:rPr>
                <w:rFonts w:ascii="Arial" w:hAnsi="Arial" w:cs="Arial"/>
                <w:sz w:val="20"/>
                <w:szCs w:val="20"/>
              </w:rPr>
              <w:t>Mjesečno.</w:t>
            </w:r>
          </w:p>
        </w:tc>
      </w:tr>
      <w:tr w:rsidR="001F77DD" w14:paraId="7B4CE422"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26282C4" w14:textId="77777777" w:rsidR="001F77DD" w:rsidRDefault="00D97F9C">
            <w:pPr>
              <w:spacing w:before="60" w:after="60" w:line="240" w:lineRule="auto"/>
              <w:rPr>
                <w:rFonts w:ascii="Arial" w:hAnsi="Arial" w:cs="Arial"/>
                <w:sz w:val="20"/>
                <w:szCs w:val="20"/>
              </w:rPr>
            </w:pPr>
            <w:r>
              <w:rPr>
                <w:rFonts w:ascii="Arial" w:hAnsi="Arial" w:cs="Arial"/>
                <w:sz w:val="20"/>
                <w:szCs w:val="20"/>
              </w:rPr>
              <w:t>K08 Provjerena obnovljivost rezervnih kopija</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83F8266" w14:textId="77777777" w:rsidR="001F77DD" w:rsidRDefault="00D97F9C">
            <w:pPr>
              <w:spacing w:before="60" w:after="60" w:line="240" w:lineRule="auto"/>
              <w:rPr>
                <w:rFonts w:ascii="Arial" w:hAnsi="Arial" w:cs="Arial"/>
                <w:sz w:val="20"/>
                <w:szCs w:val="20"/>
              </w:rPr>
            </w:pPr>
            <w:r>
              <w:rPr>
                <w:rFonts w:ascii="Arial" w:hAnsi="Arial" w:cs="Arial"/>
                <w:sz w:val="20"/>
                <w:szCs w:val="20"/>
              </w:rPr>
              <w:t>Broj uspješnih testova obnove / broj izvršenih testova obnove × 100; navesti obuhvat i integritet obnovljenih podataka.</w:t>
            </w:r>
          </w:p>
        </w:tc>
        <w:tc>
          <w:tcPr>
            <w:tcW w:w="14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77A8428"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22CCB2B" w14:textId="77777777" w:rsidR="001F77DD" w:rsidRDefault="00D97F9C">
            <w:pPr>
              <w:spacing w:before="60" w:after="60" w:line="240" w:lineRule="auto"/>
              <w:rPr>
                <w:rFonts w:ascii="Arial" w:hAnsi="Arial" w:cs="Arial"/>
                <w:sz w:val="20"/>
                <w:szCs w:val="20"/>
              </w:rPr>
            </w:pPr>
            <w:r>
              <w:rPr>
                <w:rFonts w:ascii="Arial" w:hAnsi="Arial" w:cs="Arial"/>
                <w:sz w:val="20"/>
                <w:szCs w:val="20"/>
              </w:rPr>
              <w:t>100% uspješnih testova; svi kritični sistemi testirani najmanje kvartalno.</w:t>
            </w:r>
          </w:p>
        </w:tc>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B7B2C41" w14:textId="77777777" w:rsidR="001F77DD" w:rsidRDefault="00D97F9C">
            <w:pPr>
              <w:spacing w:before="60" w:after="60" w:line="240" w:lineRule="auto"/>
              <w:rPr>
                <w:rFonts w:ascii="Arial" w:hAnsi="Arial" w:cs="Arial"/>
                <w:sz w:val="20"/>
                <w:szCs w:val="20"/>
              </w:rPr>
            </w:pPr>
            <w:r>
              <w:rPr>
                <w:rFonts w:ascii="Arial" w:hAnsi="Arial" w:cs="Arial"/>
                <w:sz w:val="20"/>
                <w:szCs w:val="20"/>
              </w:rPr>
              <w:t>Backup logovi; zapisnici testova obnove.</w:t>
            </w:r>
          </w:p>
        </w:tc>
        <w:tc>
          <w:tcPr>
            <w:tcW w:w="172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F5D885C" w14:textId="77777777" w:rsidR="001F77DD" w:rsidRDefault="00D97F9C">
            <w:pPr>
              <w:spacing w:before="60" w:after="60" w:line="240" w:lineRule="auto"/>
              <w:rPr>
                <w:rFonts w:ascii="Arial" w:hAnsi="Arial" w:cs="Arial"/>
                <w:sz w:val="20"/>
                <w:szCs w:val="20"/>
              </w:rPr>
            </w:pPr>
            <w:r>
              <w:rPr>
                <w:rFonts w:ascii="Arial" w:hAnsi="Arial" w:cs="Arial"/>
                <w:sz w:val="20"/>
                <w:szCs w:val="20"/>
              </w:rPr>
              <w:t>Tehnički sektor – infrastruktura i baze.</w:t>
            </w:r>
          </w:p>
        </w:tc>
        <w:tc>
          <w:tcPr>
            <w:tcW w:w="136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2452DF4" w14:textId="77777777" w:rsidR="001F77DD" w:rsidRDefault="00D97F9C">
            <w:pPr>
              <w:spacing w:before="60" w:after="60" w:line="240" w:lineRule="auto"/>
              <w:rPr>
                <w:rFonts w:ascii="Arial" w:hAnsi="Arial" w:cs="Arial"/>
                <w:sz w:val="20"/>
                <w:szCs w:val="20"/>
              </w:rPr>
            </w:pPr>
            <w:r>
              <w:rPr>
                <w:rFonts w:ascii="Arial" w:hAnsi="Arial" w:cs="Arial"/>
                <w:sz w:val="20"/>
                <w:szCs w:val="20"/>
              </w:rPr>
              <w:t>Kvartalno i nakon bitnih promjena.</w:t>
            </w:r>
          </w:p>
        </w:tc>
      </w:tr>
    </w:tbl>
    <w:p w14:paraId="7EB71E98" w14:textId="77777777" w:rsidR="001F77DD" w:rsidRDefault="00D97F9C">
      <w:pPr>
        <w:rPr>
          <w:rFonts w:ascii="Arial" w:hAnsi="Arial" w:cs="Arial"/>
          <w:sz w:val="20"/>
          <w:szCs w:val="20"/>
        </w:rPr>
      </w:pPr>
      <w:r>
        <w:rPr>
          <w:rFonts w:ascii="Arial" w:hAnsi="Arial" w:cs="Arial"/>
          <w:sz w:val="20"/>
          <w:szCs w:val="20"/>
        </w:rPr>
        <w:br w:type="page" w:clear="all"/>
      </w:r>
    </w:p>
    <w:p w14:paraId="521DADB8" w14:textId="77777777" w:rsidR="001F77DD" w:rsidRDefault="00D97F9C">
      <w:pPr>
        <w:pStyle w:val="Heading1"/>
        <w:rPr>
          <w:sz w:val="20"/>
          <w:szCs w:val="20"/>
        </w:rPr>
      </w:pPr>
      <w:r>
        <w:rPr>
          <w:sz w:val="20"/>
          <w:szCs w:val="20"/>
        </w:rPr>
        <w:lastRenderedPageBreak/>
        <w:t>SC3 Razmjena podataka i mrežna infrastruktura</w:t>
      </w:r>
    </w:p>
    <w:tbl>
      <w:tblPr>
        <w:tblW w:w="0" w:type="auto"/>
        <w:jc w:val="center"/>
        <w:tblLayout w:type="fixed"/>
        <w:tblLook w:val="04A0" w:firstRow="1" w:lastRow="0" w:firstColumn="1" w:lastColumn="0" w:noHBand="0" w:noVBand="1"/>
      </w:tblPr>
      <w:tblGrid>
        <w:gridCol w:w="1872"/>
        <w:gridCol w:w="3384"/>
        <w:gridCol w:w="1440"/>
        <w:gridCol w:w="2952"/>
        <w:gridCol w:w="1800"/>
        <w:gridCol w:w="1728"/>
        <w:gridCol w:w="1368"/>
      </w:tblGrid>
      <w:tr w:rsidR="001F77DD" w14:paraId="4FD8E92E" w14:textId="77777777">
        <w:trPr>
          <w:cantSplit/>
          <w:tblHeader/>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579E5976" w14:textId="77777777" w:rsidR="001F77DD" w:rsidRDefault="00D97F9C">
            <w:pPr>
              <w:spacing w:before="60" w:after="60" w:line="240" w:lineRule="auto"/>
              <w:rPr>
                <w:rFonts w:ascii="Arial" w:hAnsi="Arial" w:cs="Arial"/>
                <w:sz w:val="20"/>
                <w:szCs w:val="20"/>
              </w:rPr>
            </w:pPr>
            <w:r>
              <w:rPr>
                <w:rFonts w:ascii="Arial" w:hAnsi="Arial" w:cs="Arial"/>
                <w:b/>
                <w:sz w:val="20"/>
                <w:szCs w:val="20"/>
              </w:rPr>
              <w:t>Naziv indikatora</w:t>
            </w:r>
          </w:p>
        </w:tc>
        <w:tc>
          <w:tcPr>
            <w:tcW w:w="3384"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70DAFA1A" w14:textId="77777777" w:rsidR="001F77DD" w:rsidRDefault="00D97F9C">
            <w:pPr>
              <w:spacing w:before="60" w:after="60" w:line="240" w:lineRule="auto"/>
              <w:rPr>
                <w:rFonts w:ascii="Arial" w:hAnsi="Arial" w:cs="Arial"/>
                <w:sz w:val="20"/>
                <w:szCs w:val="20"/>
              </w:rPr>
            </w:pPr>
            <w:r>
              <w:rPr>
                <w:rFonts w:ascii="Arial" w:hAnsi="Arial" w:cs="Arial"/>
                <w:b/>
                <w:sz w:val="20"/>
                <w:szCs w:val="20"/>
              </w:rPr>
              <w:t>Definicija i obračun</w:t>
            </w:r>
          </w:p>
        </w:tc>
        <w:tc>
          <w:tcPr>
            <w:tcW w:w="1440"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1BB9A96A" w14:textId="77777777" w:rsidR="001F77DD" w:rsidRDefault="00D97F9C">
            <w:pPr>
              <w:spacing w:before="60" w:after="60" w:line="240" w:lineRule="auto"/>
              <w:rPr>
                <w:rFonts w:ascii="Arial" w:hAnsi="Arial" w:cs="Arial"/>
                <w:sz w:val="20"/>
                <w:szCs w:val="20"/>
              </w:rPr>
            </w:pPr>
            <w:r>
              <w:rPr>
                <w:rFonts w:ascii="Arial" w:hAnsi="Arial" w:cs="Arial"/>
                <w:b/>
                <w:sz w:val="20"/>
                <w:szCs w:val="20"/>
              </w:rPr>
              <w:t>Baseline</w:t>
            </w:r>
          </w:p>
        </w:tc>
        <w:tc>
          <w:tcPr>
            <w:tcW w:w="2952"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3CA505A0" w14:textId="77777777" w:rsidR="001F77DD" w:rsidRDefault="00D97F9C">
            <w:pPr>
              <w:spacing w:before="60" w:after="60" w:line="240" w:lineRule="auto"/>
              <w:rPr>
                <w:rFonts w:ascii="Arial" w:hAnsi="Arial" w:cs="Arial"/>
                <w:sz w:val="20"/>
                <w:szCs w:val="20"/>
              </w:rPr>
            </w:pPr>
            <w:r>
              <w:rPr>
                <w:rFonts w:ascii="Arial" w:hAnsi="Arial" w:cs="Arial"/>
                <w:b/>
                <w:sz w:val="20"/>
                <w:szCs w:val="20"/>
              </w:rPr>
              <w:t>Cilj</w:t>
            </w:r>
          </w:p>
        </w:tc>
        <w:tc>
          <w:tcPr>
            <w:tcW w:w="1800"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21D594DB" w14:textId="77777777" w:rsidR="001F77DD" w:rsidRDefault="00D97F9C">
            <w:pPr>
              <w:spacing w:before="60" w:after="60" w:line="240" w:lineRule="auto"/>
              <w:rPr>
                <w:rFonts w:ascii="Arial" w:hAnsi="Arial" w:cs="Arial"/>
                <w:sz w:val="20"/>
                <w:szCs w:val="20"/>
              </w:rPr>
            </w:pPr>
            <w:r>
              <w:rPr>
                <w:rFonts w:ascii="Arial" w:hAnsi="Arial" w:cs="Arial"/>
                <w:b/>
                <w:sz w:val="20"/>
                <w:szCs w:val="20"/>
              </w:rPr>
              <w:t>Izvor podataka</w:t>
            </w:r>
          </w:p>
        </w:tc>
        <w:tc>
          <w:tcPr>
            <w:tcW w:w="1728"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19BC6536" w14:textId="77777777" w:rsidR="001F77DD" w:rsidRDefault="00D97F9C">
            <w:pPr>
              <w:spacing w:before="60" w:after="60" w:line="240" w:lineRule="auto"/>
              <w:rPr>
                <w:rFonts w:ascii="Arial" w:hAnsi="Arial" w:cs="Arial"/>
                <w:sz w:val="20"/>
                <w:szCs w:val="20"/>
              </w:rPr>
            </w:pPr>
            <w:r>
              <w:rPr>
                <w:rFonts w:ascii="Arial" w:hAnsi="Arial" w:cs="Arial"/>
                <w:b/>
                <w:sz w:val="20"/>
                <w:szCs w:val="20"/>
              </w:rPr>
              <w:t>Vlasnik</w:t>
            </w:r>
          </w:p>
        </w:tc>
        <w:tc>
          <w:tcPr>
            <w:tcW w:w="1368"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2EB810D5" w14:textId="77777777" w:rsidR="001F77DD" w:rsidRDefault="00D97F9C">
            <w:pPr>
              <w:spacing w:before="60" w:after="60" w:line="240" w:lineRule="auto"/>
              <w:rPr>
                <w:rFonts w:ascii="Arial" w:hAnsi="Arial" w:cs="Arial"/>
                <w:sz w:val="20"/>
                <w:szCs w:val="20"/>
              </w:rPr>
            </w:pPr>
            <w:r>
              <w:rPr>
                <w:rFonts w:ascii="Arial" w:hAnsi="Arial" w:cs="Arial"/>
                <w:b/>
                <w:sz w:val="20"/>
                <w:szCs w:val="20"/>
              </w:rPr>
              <w:t>Učestalost</w:t>
            </w:r>
          </w:p>
        </w:tc>
      </w:tr>
      <w:tr w:rsidR="001F77DD" w14:paraId="4F767B3A"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1E4DC0A9" w14:textId="77777777" w:rsidR="001F77DD" w:rsidRDefault="00D97F9C">
            <w:pPr>
              <w:spacing w:before="60" w:after="60" w:line="240" w:lineRule="auto"/>
              <w:rPr>
                <w:rFonts w:ascii="Arial" w:hAnsi="Arial" w:cs="Arial"/>
                <w:sz w:val="20"/>
                <w:szCs w:val="20"/>
              </w:rPr>
            </w:pPr>
            <w:r>
              <w:rPr>
                <w:rFonts w:ascii="Arial" w:hAnsi="Arial" w:cs="Arial"/>
                <w:sz w:val="20"/>
                <w:szCs w:val="20"/>
              </w:rPr>
              <w:t>K09 Broj produkcionih integracija</w:t>
            </w:r>
          </w:p>
        </w:tc>
        <w:tc>
          <w:tcPr>
            <w:tcW w:w="3384"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27E4DD0D" w14:textId="77777777" w:rsidR="001F77DD" w:rsidRDefault="00D97F9C">
            <w:pPr>
              <w:spacing w:before="60" w:after="60" w:line="240" w:lineRule="auto"/>
              <w:rPr>
                <w:rFonts w:ascii="Arial" w:hAnsi="Arial" w:cs="Arial"/>
                <w:sz w:val="20"/>
                <w:szCs w:val="20"/>
              </w:rPr>
            </w:pPr>
            <w:r>
              <w:rPr>
                <w:rFonts w:ascii="Arial" w:hAnsi="Arial" w:cs="Arial"/>
                <w:sz w:val="20"/>
                <w:szCs w:val="20"/>
              </w:rPr>
              <w:t>Broj jedinstvenih aktivnih integracija sistema drugih subjekata koje imaju pravni osnov, prihvatne testove i evidentiran produkcioni promet; testne integracije se ne računaju.</w:t>
            </w:r>
          </w:p>
        </w:tc>
        <w:tc>
          <w:tcPr>
            <w:tcW w:w="144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12010468"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4C12C499" w14:textId="77777777" w:rsidR="001F77DD" w:rsidRDefault="00D97F9C">
            <w:pPr>
              <w:spacing w:before="60" w:after="60" w:line="240" w:lineRule="auto"/>
              <w:rPr>
                <w:rFonts w:ascii="Arial" w:hAnsi="Arial" w:cs="Arial"/>
                <w:sz w:val="20"/>
                <w:szCs w:val="20"/>
              </w:rPr>
            </w:pPr>
            <w:r>
              <w:rPr>
                <w:rFonts w:ascii="Arial" w:hAnsi="Arial" w:cs="Arial"/>
                <w:sz w:val="20"/>
                <w:szCs w:val="20"/>
              </w:rPr>
              <w:t>Realizovano 100% prioritetnih integracija iz odobrenih godišnjih planova za koje su ispunjene pretpostavke.</w:t>
            </w:r>
          </w:p>
        </w:tc>
        <w:tc>
          <w:tcPr>
            <w:tcW w:w="180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070D11FA" w14:textId="77777777" w:rsidR="001F77DD" w:rsidRDefault="00D97F9C">
            <w:pPr>
              <w:spacing w:before="60" w:after="60" w:line="240" w:lineRule="auto"/>
              <w:rPr>
                <w:rFonts w:ascii="Arial" w:hAnsi="Arial" w:cs="Arial"/>
                <w:sz w:val="20"/>
                <w:szCs w:val="20"/>
              </w:rPr>
            </w:pPr>
            <w:r>
              <w:rPr>
                <w:rFonts w:ascii="Arial" w:hAnsi="Arial" w:cs="Arial"/>
                <w:sz w:val="20"/>
                <w:szCs w:val="20"/>
              </w:rPr>
              <w:t>Registar integracija; zapisnici puštanja u rad; API logovi.</w:t>
            </w:r>
          </w:p>
        </w:tc>
        <w:tc>
          <w:tcPr>
            <w:tcW w:w="172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1B7768FB" w14:textId="77777777" w:rsidR="001F77DD" w:rsidRDefault="00D97F9C">
            <w:pPr>
              <w:spacing w:before="60" w:after="60" w:line="240" w:lineRule="auto"/>
              <w:rPr>
                <w:rFonts w:ascii="Arial" w:hAnsi="Arial" w:cs="Arial"/>
                <w:sz w:val="20"/>
                <w:szCs w:val="20"/>
              </w:rPr>
            </w:pPr>
            <w:r>
              <w:rPr>
                <w:rFonts w:ascii="Arial" w:hAnsi="Arial" w:cs="Arial"/>
                <w:sz w:val="20"/>
                <w:szCs w:val="20"/>
              </w:rPr>
              <w:t>Tehnički sektor – interoperabilnost.</w:t>
            </w:r>
          </w:p>
        </w:tc>
        <w:tc>
          <w:tcPr>
            <w:tcW w:w="136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4F0331C2" w14:textId="77777777" w:rsidR="001F77DD" w:rsidRDefault="00D97F9C">
            <w:pPr>
              <w:spacing w:before="60" w:after="60" w:line="240" w:lineRule="auto"/>
              <w:rPr>
                <w:rFonts w:ascii="Arial" w:hAnsi="Arial" w:cs="Arial"/>
                <w:sz w:val="20"/>
                <w:szCs w:val="20"/>
              </w:rPr>
            </w:pPr>
            <w:r>
              <w:rPr>
                <w:rFonts w:ascii="Arial" w:hAnsi="Arial" w:cs="Arial"/>
                <w:sz w:val="20"/>
                <w:szCs w:val="20"/>
              </w:rPr>
              <w:t>Kvartalno.</w:t>
            </w:r>
          </w:p>
        </w:tc>
      </w:tr>
      <w:tr w:rsidR="001F77DD" w14:paraId="0F624108"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9B33FF0" w14:textId="77777777" w:rsidR="001F77DD" w:rsidRDefault="00D97F9C">
            <w:pPr>
              <w:spacing w:before="60" w:after="60" w:line="240" w:lineRule="auto"/>
              <w:rPr>
                <w:rFonts w:ascii="Arial" w:hAnsi="Arial" w:cs="Arial"/>
                <w:sz w:val="20"/>
                <w:szCs w:val="20"/>
              </w:rPr>
            </w:pPr>
            <w:r>
              <w:rPr>
                <w:rFonts w:ascii="Arial" w:hAnsi="Arial" w:cs="Arial"/>
                <w:sz w:val="20"/>
                <w:szCs w:val="20"/>
              </w:rPr>
              <w:t>K10 Broj uspješnih transakcija</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CA8B2D4" w14:textId="77777777" w:rsidR="001F77DD" w:rsidRDefault="00D97F9C">
            <w:pPr>
              <w:spacing w:before="60" w:after="60" w:line="240" w:lineRule="auto"/>
              <w:rPr>
                <w:rFonts w:ascii="Arial" w:hAnsi="Arial" w:cs="Arial"/>
                <w:sz w:val="20"/>
                <w:szCs w:val="20"/>
              </w:rPr>
            </w:pPr>
            <w:r>
              <w:rPr>
                <w:rFonts w:ascii="Arial" w:hAnsi="Arial" w:cs="Arial"/>
                <w:sz w:val="20"/>
                <w:szCs w:val="20"/>
              </w:rPr>
              <w:t>Broj jedinstvenih poslovnih transakcija koje su uspješno završene; ponovljeni tehnički pokušaji ne povećavaju broj. Po servisu i instituciji.</w:t>
            </w:r>
          </w:p>
        </w:tc>
        <w:tc>
          <w:tcPr>
            <w:tcW w:w="14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EE14449"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305731F" w14:textId="77777777" w:rsidR="001F77DD" w:rsidRDefault="00D97F9C">
            <w:pPr>
              <w:spacing w:before="60" w:after="60" w:line="240" w:lineRule="auto"/>
              <w:rPr>
                <w:rFonts w:ascii="Arial" w:hAnsi="Arial" w:cs="Arial"/>
                <w:sz w:val="20"/>
                <w:szCs w:val="20"/>
              </w:rPr>
            </w:pPr>
            <w:r>
              <w:rPr>
                <w:rFonts w:ascii="Arial" w:hAnsi="Arial" w:cs="Arial"/>
                <w:sz w:val="20"/>
                <w:szCs w:val="20"/>
              </w:rPr>
              <w:t>Obim prati potražnju; ≥99,5% tehnički uspješnih od svih validnih zahtjeva. Prikazati i apsolutni broj.</w:t>
            </w:r>
          </w:p>
        </w:tc>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31E347D" w14:textId="77777777" w:rsidR="001F77DD" w:rsidRDefault="00D97F9C">
            <w:pPr>
              <w:spacing w:before="60" w:after="60" w:line="240" w:lineRule="auto"/>
              <w:rPr>
                <w:rFonts w:ascii="Arial" w:hAnsi="Arial" w:cs="Arial"/>
                <w:sz w:val="20"/>
                <w:szCs w:val="20"/>
              </w:rPr>
            </w:pPr>
            <w:r>
              <w:rPr>
                <w:rFonts w:ascii="Arial" w:hAnsi="Arial" w:cs="Arial"/>
                <w:sz w:val="20"/>
                <w:szCs w:val="20"/>
              </w:rPr>
              <w:t>API gateway; transakcioni logovi; eDataXChange.</w:t>
            </w:r>
          </w:p>
        </w:tc>
        <w:tc>
          <w:tcPr>
            <w:tcW w:w="172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8D0A382" w14:textId="77777777" w:rsidR="001F77DD" w:rsidRDefault="00D97F9C">
            <w:pPr>
              <w:spacing w:before="60" w:after="60" w:line="240" w:lineRule="auto"/>
              <w:rPr>
                <w:rFonts w:ascii="Arial" w:hAnsi="Arial" w:cs="Arial"/>
                <w:sz w:val="20"/>
                <w:szCs w:val="20"/>
              </w:rPr>
            </w:pPr>
            <w:r>
              <w:rPr>
                <w:rFonts w:ascii="Arial" w:hAnsi="Arial" w:cs="Arial"/>
                <w:sz w:val="20"/>
                <w:szCs w:val="20"/>
              </w:rPr>
              <w:t>Tehnički sektor – razmjena podataka.</w:t>
            </w:r>
          </w:p>
        </w:tc>
        <w:tc>
          <w:tcPr>
            <w:tcW w:w="136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71D950F" w14:textId="77777777" w:rsidR="001F77DD" w:rsidRDefault="00D97F9C">
            <w:pPr>
              <w:spacing w:before="60" w:after="60" w:line="240" w:lineRule="auto"/>
              <w:rPr>
                <w:rFonts w:ascii="Arial" w:hAnsi="Arial" w:cs="Arial"/>
                <w:sz w:val="20"/>
                <w:szCs w:val="20"/>
              </w:rPr>
            </w:pPr>
            <w:r>
              <w:rPr>
                <w:rFonts w:ascii="Arial" w:hAnsi="Arial" w:cs="Arial"/>
                <w:sz w:val="20"/>
                <w:szCs w:val="20"/>
              </w:rPr>
              <w:t>Kontinuirano; mjesečno.</w:t>
            </w:r>
          </w:p>
        </w:tc>
      </w:tr>
      <w:tr w:rsidR="001F77DD" w14:paraId="47658508"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6320B619" w14:textId="77777777" w:rsidR="001F77DD" w:rsidRDefault="00D97F9C">
            <w:pPr>
              <w:spacing w:before="60" w:after="60" w:line="240" w:lineRule="auto"/>
              <w:rPr>
                <w:rFonts w:ascii="Arial" w:hAnsi="Arial" w:cs="Arial"/>
                <w:sz w:val="20"/>
                <w:szCs w:val="20"/>
              </w:rPr>
            </w:pPr>
            <w:r>
              <w:rPr>
                <w:rFonts w:ascii="Arial" w:hAnsi="Arial" w:cs="Arial"/>
                <w:sz w:val="20"/>
                <w:szCs w:val="20"/>
              </w:rPr>
              <w:t>K11 Dostupnost mreže</w:t>
            </w:r>
          </w:p>
        </w:tc>
        <w:tc>
          <w:tcPr>
            <w:tcW w:w="3384"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78F6D843" w14:textId="77777777" w:rsidR="001F77DD" w:rsidRDefault="00D97F9C">
            <w:pPr>
              <w:spacing w:before="60" w:after="60" w:line="240" w:lineRule="auto"/>
              <w:rPr>
                <w:rFonts w:ascii="Arial" w:hAnsi="Arial" w:cs="Arial"/>
                <w:sz w:val="20"/>
                <w:szCs w:val="20"/>
              </w:rPr>
            </w:pPr>
            <w:r>
              <w:rPr>
                <w:rFonts w:ascii="Arial" w:hAnsi="Arial" w:cs="Arial"/>
                <w:sz w:val="20"/>
                <w:szCs w:val="20"/>
              </w:rPr>
              <w:t>Procenat raspoloživosti svake ključne mrežne veze i krajnje povezanosti lokacija; evidentirati trajanje prekida.</w:t>
            </w:r>
          </w:p>
        </w:tc>
        <w:tc>
          <w:tcPr>
            <w:tcW w:w="144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30D373DC"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3B107997" w14:textId="77777777" w:rsidR="001F77DD" w:rsidRDefault="00D97F9C">
            <w:pPr>
              <w:spacing w:before="60" w:after="60" w:line="240" w:lineRule="auto"/>
              <w:rPr>
                <w:rFonts w:ascii="Arial" w:hAnsi="Arial" w:cs="Arial"/>
                <w:sz w:val="20"/>
                <w:szCs w:val="20"/>
              </w:rPr>
            </w:pPr>
            <w:r>
              <w:rPr>
                <w:rFonts w:ascii="Arial" w:hAnsi="Arial" w:cs="Arial"/>
                <w:sz w:val="20"/>
                <w:szCs w:val="20"/>
              </w:rPr>
              <w:t>≥99,9% za svaku ključnu vezu.</w:t>
            </w:r>
          </w:p>
        </w:tc>
        <w:tc>
          <w:tcPr>
            <w:tcW w:w="180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02157851" w14:textId="77777777" w:rsidR="001F77DD" w:rsidRDefault="00D97F9C">
            <w:pPr>
              <w:spacing w:before="60" w:after="60" w:line="240" w:lineRule="auto"/>
              <w:rPr>
                <w:rFonts w:ascii="Arial" w:hAnsi="Arial" w:cs="Arial"/>
                <w:sz w:val="20"/>
                <w:szCs w:val="20"/>
              </w:rPr>
            </w:pPr>
            <w:r>
              <w:rPr>
                <w:rFonts w:ascii="Arial" w:hAnsi="Arial" w:cs="Arial"/>
                <w:sz w:val="20"/>
                <w:szCs w:val="20"/>
              </w:rPr>
              <w:t>Mrežni monitoring; evidencije prekida; SLA operatera.</w:t>
            </w:r>
          </w:p>
        </w:tc>
        <w:tc>
          <w:tcPr>
            <w:tcW w:w="172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0CB56278" w14:textId="77777777" w:rsidR="001F77DD" w:rsidRDefault="00D97F9C">
            <w:pPr>
              <w:spacing w:before="60" w:after="60" w:line="240" w:lineRule="auto"/>
              <w:rPr>
                <w:rFonts w:ascii="Arial" w:hAnsi="Arial" w:cs="Arial"/>
                <w:sz w:val="20"/>
                <w:szCs w:val="20"/>
              </w:rPr>
            </w:pPr>
            <w:r>
              <w:rPr>
                <w:rFonts w:ascii="Arial" w:hAnsi="Arial" w:cs="Arial"/>
                <w:sz w:val="20"/>
                <w:szCs w:val="20"/>
              </w:rPr>
              <w:t>Tehnički sektor – mrežna infrastruktura.</w:t>
            </w:r>
          </w:p>
        </w:tc>
        <w:tc>
          <w:tcPr>
            <w:tcW w:w="136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258F3B10" w14:textId="77777777" w:rsidR="001F77DD" w:rsidRDefault="00D97F9C">
            <w:pPr>
              <w:spacing w:before="60" w:after="60" w:line="240" w:lineRule="auto"/>
              <w:rPr>
                <w:rFonts w:ascii="Arial" w:hAnsi="Arial" w:cs="Arial"/>
                <w:sz w:val="20"/>
                <w:szCs w:val="20"/>
              </w:rPr>
            </w:pPr>
            <w:r>
              <w:rPr>
                <w:rFonts w:ascii="Arial" w:hAnsi="Arial" w:cs="Arial"/>
                <w:sz w:val="20"/>
                <w:szCs w:val="20"/>
              </w:rPr>
              <w:t>Kontinuirano; mjesečno.</w:t>
            </w:r>
          </w:p>
        </w:tc>
      </w:tr>
      <w:tr w:rsidR="001F77DD" w14:paraId="1CAD556E"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0B7F8C6" w14:textId="77777777" w:rsidR="001F77DD" w:rsidRDefault="00D97F9C">
            <w:pPr>
              <w:spacing w:before="60" w:after="60" w:line="240" w:lineRule="auto"/>
              <w:rPr>
                <w:rFonts w:ascii="Arial" w:hAnsi="Arial" w:cs="Arial"/>
                <w:sz w:val="20"/>
                <w:szCs w:val="20"/>
              </w:rPr>
            </w:pPr>
            <w:r>
              <w:rPr>
                <w:rFonts w:ascii="Arial" w:hAnsi="Arial" w:cs="Arial"/>
                <w:sz w:val="20"/>
                <w:szCs w:val="20"/>
              </w:rPr>
              <w:t>K12 Vrijeme obnove mrežne veze</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CCFAE37" w14:textId="77777777" w:rsidR="001F77DD" w:rsidRDefault="00D97F9C">
            <w:pPr>
              <w:spacing w:before="60" w:after="60" w:line="240" w:lineRule="auto"/>
              <w:rPr>
                <w:rFonts w:ascii="Arial" w:hAnsi="Arial" w:cs="Arial"/>
                <w:sz w:val="20"/>
                <w:szCs w:val="20"/>
              </w:rPr>
            </w:pPr>
            <w:r>
              <w:rPr>
                <w:rFonts w:ascii="Arial" w:hAnsi="Arial" w:cs="Arial"/>
                <w:sz w:val="20"/>
                <w:szCs w:val="20"/>
              </w:rPr>
              <w:t>Medijana i P95 vremena od potvrđenog prekida do stabilne obnove veze; po kritičnosti i uzroku.</w:t>
            </w:r>
          </w:p>
        </w:tc>
        <w:tc>
          <w:tcPr>
            <w:tcW w:w="14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65B6AE5"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C2090C9" w14:textId="77777777" w:rsidR="001F77DD" w:rsidRDefault="00D97F9C">
            <w:pPr>
              <w:spacing w:before="60" w:after="60" w:line="240" w:lineRule="auto"/>
              <w:rPr>
                <w:rFonts w:ascii="Arial" w:hAnsi="Arial" w:cs="Arial"/>
                <w:sz w:val="20"/>
                <w:szCs w:val="20"/>
              </w:rPr>
            </w:pPr>
            <w:r>
              <w:rPr>
                <w:rFonts w:ascii="Arial" w:hAnsi="Arial" w:cs="Arial"/>
                <w:sz w:val="20"/>
                <w:szCs w:val="20"/>
              </w:rPr>
              <w:t>U okviru odobrenog SLA-a; P95 ≤80% B27 za prekide izvan SLA-a.</w:t>
            </w:r>
          </w:p>
        </w:tc>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85F2E56" w14:textId="77777777" w:rsidR="001F77DD" w:rsidRDefault="00D97F9C">
            <w:pPr>
              <w:spacing w:before="60" w:after="60" w:line="240" w:lineRule="auto"/>
              <w:rPr>
                <w:rFonts w:ascii="Arial" w:hAnsi="Arial" w:cs="Arial"/>
                <w:sz w:val="20"/>
                <w:szCs w:val="20"/>
              </w:rPr>
            </w:pPr>
            <w:r>
              <w:rPr>
                <w:rFonts w:ascii="Arial" w:hAnsi="Arial" w:cs="Arial"/>
                <w:sz w:val="20"/>
                <w:szCs w:val="20"/>
              </w:rPr>
              <w:t>Monitoring; servisni nalozi; izvještaji operatera.</w:t>
            </w:r>
          </w:p>
        </w:tc>
        <w:tc>
          <w:tcPr>
            <w:tcW w:w="172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6815F5F" w14:textId="77777777" w:rsidR="001F77DD" w:rsidRDefault="00D97F9C">
            <w:pPr>
              <w:spacing w:before="60" w:after="60" w:line="240" w:lineRule="auto"/>
              <w:rPr>
                <w:rFonts w:ascii="Arial" w:hAnsi="Arial" w:cs="Arial"/>
                <w:sz w:val="20"/>
                <w:szCs w:val="20"/>
              </w:rPr>
            </w:pPr>
            <w:r>
              <w:rPr>
                <w:rFonts w:ascii="Arial" w:hAnsi="Arial" w:cs="Arial"/>
                <w:sz w:val="20"/>
                <w:szCs w:val="20"/>
              </w:rPr>
              <w:t>Tehnički sektor – mreža.</w:t>
            </w:r>
          </w:p>
        </w:tc>
        <w:tc>
          <w:tcPr>
            <w:tcW w:w="136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C34C051" w14:textId="77777777" w:rsidR="001F77DD" w:rsidRDefault="00D97F9C">
            <w:pPr>
              <w:spacing w:before="60" w:after="60" w:line="240" w:lineRule="auto"/>
              <w:rPr>
                <w:rFonts w:ascii="Arial" w:hAnsi="Arial" w:cs="Arial"/>
                <w:sz w:val="20"/>
                <w:szCs w:val="20"/>
              </w:rPr>
            </w:pPr>
            <w:r>
              <w:rPr>
                <w:rFonts w:ascii="Arial" w:hAnsi="Arial" w:cs="Arial"/>
                <w:sz w:val="20"/>
                <w:szCs w:val="20"/>
              </w:rPr>
              <w:t>Po prekidu; mjesečno.</w:t>
            </w:r>
          </w:p>
        </w:tc>
      </w:tr>
    </w:tbl>
    <w:p w14:paraId="6B857DAE" w14:textId="77777777" w:rsidR="001F77DD" w:rsidRDefault="00D97F9C">
      <w:pPr>
        <w:rPr>
          <w:rFonts w:ascii="Arial" w:hAnsi="Arial" w:cs="Arial"/>
          <w:sz w:val="20"/>
          <w:szCs w:val="20"/>
        </w:rPr>
      </w:pPr>
      <w:r>
        <w:rPr>
          <w:rFonts w:ascii="Arial" w:hAnsi="Arial" w:cs="Arial"/>
          <w:sz w:val="20"/>
          <w:szCs w:val="20"/>
        </w:rPr>
        <w:br w:type="page" w:clear="all"/>
      </w:r>
    </w:p>
    <w:p w14:paraId="7B3373CB" w14:textId="77777777" w:rsidR="001F77DD" w:rsidRDefault="00D97F9C">
      <w:pPr>
        <w:pStyle w:val="Heading1"/>
        <w:rPr>
          <w:sz w:val="20"/>
          <w:szCs w:val="20"/>
        </w:rPr>
      </w:pPr>
      <w:r>
        <w:rPr>
          <w:sz w:val="20"/>
          <w:szCs w:val="20"/>
        </w:rPr>
        <w:lastRenderedPageBreak/>
        <w:t>SC4 Digitalni identitet certifikati i elektronski potpis</w:t>
      </w:r>
    </w:p>
    <w:tbl>
      <w:tblPr>
        <w:tblW w:w="0" w:type="auto"/>
        <w:jc w:val="center"/>
        <w:tblLayout w:type="fixed"/>
        <w:tblLook w:val="04A0" w:firstRow="1" w:lastRow="0" w:firstColumn="1" w:lastColumn="0" w:noHBand="0" w:noVBand="1"/>
      </w:tblPr>
      <w:tblGrid>
        <w:gridCol w:w="1872"/>
        <w:gridCol w:w="3384"/>
        <w:gridCol w:w="1440"/>
        <w:gridCol w:w="2952"/>
        <w:gridCol w:w="1800"/>
        <w:gridCol w:w="1728"/>
        <w:gridCol w:w="1368"/>
      </w:tblGrid>
      <w:tr w:rsidR="001F77DD" w14:paraId="40B3286A" w14:textId="77777777">
        <w:trPr>
          <w:cantSplit/>
          <w:tblHeader/>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7FEE2F0C" w14:textId="77777777" w:rsidR="001F77DD" w:rsidRDefault="00D97F9C">
            <w:pPr>
              <w:spacing w:before="60" w:after="60" w:line="240" w:lineRule="auto"/>
              <w:rPr>
                <w:rFonts w:ascii="Arial" w:hAnsi="Arial" w:cs="Arial"/>
                <w:sz w:val="20"/>
                <w:szCs w:val="20"/>
              </w:rPr>
            </w:pPr>
            <w:r>
              <w:rPr>
                <w:rFonts w:ascii="Arial" w:hAnsi="Arial" w:cs="Arial"/>
                <w:b/>
                <w:sz w:val="20"/>
                <w:szCs w:val="20"/>
              </w:rPr>
              <w:t>Naziv indikatora</w:t>
            </w:r>
          </w:p>
        </w:tc>
        <w:tc>
          <w:tcPr>
            <w:tcW w:w="3384"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6F8FECBF" w14:textId="77777777" w:rsidR="001F77DD" w:rsidRDefault="00D97F9C">
            <w:pPr>
              <w:spacing w:before="60" w:after="60" w:line="240" w:lineRule="auto"/>
              <w:rPr>
                <w:rFonts w:ascii="Arial" w:hAnsi="Arial" w:cs="Arial"/>
                <w:sz w:val="20"/>
                <w:szCs w:val="20"/>
              </w:rPr>
            </w:pPr>
            <w:r>
              <w:rPr>
                <w:rFonts w:ascii="Arial" w:hAnsi="Arial" w:cs="Arial"/>
                <w:b/>
                <w:sz w:val="20"/>
                <w:szCs w:val="20"/>
              </w:rPr>
              <w:t>Definicija i obračun</w:t>
            </w:r>
          </w:p>
        </w:tc>
        <w:tc>
          <w:tcPr>
            <w:tcW w:w="1440"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7F7A524B" w14:textId="77777777" w:rsidR="001F77DD" w:rsidRDefault="00D97F9C">
            <w:pPr>
              <w:spacing w:before="60" w:after="60" w:line="240" w:lineRule="auto"/>
              <w:rPr>
                <w:rFonts w:ascii="Arial" w:hAnsi="Arial" w:cs="Arial"/>
                <w:sz w:val="20"/>
                <w:szCs w:val="20"/>
              </w:rPr>
            </w:pPr>
            <w:r>
              <w:rPr>
                <w:rFonts w:ascii="Arial" w:hAnsi="Arial" w:cs="Arial"/>
                <w:b/>
                <w:sz w:val="20"/>
                <w:szCs w:val="20"/>
              </w:rPr>
              <w:t>Baseline</w:t>
            </w:r>
          </w:p>
        </w:tc>
        <w:tc>
          <w:tcPr>
            <w:tcW w:w="2952"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12B411A4" w14:textId="77777777" w:rsidR="001F77DD" w:rsidRDefault="00D97F9C">
            <w:pPr>
              <w:spacing w:before="60" w:after="60" w:line="240" w:lineRule="auto"/>
              <w:rPr>
                <w:rFonts w:ascii="Arial" w:hAnsi="Arial" w:cs="Arial"/>
                <w:sz w:val="20"/>
                <w:szCs w:val="20"/>
              </w:rPr>
            </w:pPr>
            <w:r>
              <w:rPr>
                <w:rFonts w:ascii="Arial" w:hAnsi="Arial" w:cs="Arial"/>
                <w:b/>
                <w:sz w:val="20"/>
                <w:szCs w:val="20"/>
              </w:rPr>
              <w:t>Cilj</w:t>
            </w:r>
          </w:p>
        </w:tc>
        <w:tc>
          <w:tcPr>
            <w:tcW w:w="1800"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211586F0" w14:textId="77777777" w:rsidR="001F77DD" w:rsidRDefault="00D97F9C">
            <w:pPr>
              <w:spacing w:before="60" w:after="60" w:line="240" w:lineRule="auto"/>
              <w:rPr>
                <w:rFonts w:ascii="Arial" w:hAnsi="Arial" w:cs="Arial"/>
                <w:sz w:val="20"/>
                <w:szCs w:val="20"/>
              </w:rPr>
            </w:pPr>
            <w:r>
              <w:rPr>
                <w:rFonts w:ascii="Arial" w:hAnsi="Arial" w:cs="Arial"/>
                <w:b/>
                <w:sz w:val="20"/>
                <w:szCs w:val="20"/>
              </w:rPr>
              <w:t>Izvor podataka</w:t>
            </w:r>
          </w:p>
        </w:tc>
        <w:tc>
          <w:tcPr>
            <w:tcW w:w="1728"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51E66E2B" w14:textId="77777777" w:rsidR="001F77DD" w:rsidRDefault="00D97F9C">
            <w:pPr>
              <w:spacing w:before="60" w:after="60" w:line="240" w:lineRule="auto"/>
              <w:rPr>
                <w:rFonts w:ascii="Arial" w:hAnsi="Arial" w:cs="Arial"/>
                <w:sz w:val="20"/>
                <w:szCs w:val="20"/>
              </w:rPr>
            </w:pPr>
            <w:r>
              <w:rPr>
                <w:rFonts w:ascii="Arial" w:hAnsi="Arial" w:cs="Arial"/>
                <w:b/>
                <w:sz w:val="20"/>
                <w:szCs w:val="20"/>
              </w:rPr>
              <w:t>Vlasnik</w:t>
            </w:r>
          </w:p>
        </w:tc>
        <w:tc>
          <w:tcPr>
            <w:tcW w:w="1368"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101D3E51" w14:textId="77777777" w:rsidR="001F77DD" w:rsidRDefault="00D97F9C">
            <w:pPr>
              <w:spacing w:before="60" w:after="60" w:line="240" w:lineRule="auto"/>
              <w:rPr>
                <w:rFonts w:ascii="Arial" w:hAnsi="Arial" w:cs="Arial"/>
                <w:sz w:val="20"/>
                <w:szCs w:val="20"/>
              </w:rPr>
            </w:pPr>
            <w:r>
              <w:rPr>
                <w:rFonts w:ascii="Arial" w:hAnsi="Arial" w:cs="Arial"/>
                <w:b/>
                <w:sz w:val="20"/>
                <w:szCs w:val="20"/>
              </w:rPr>
              <w:t>Učestalost</w:t>
            </w:r>
          </w:p>
        </w:tc>
      </w:tr>
      <w:tr w:rsidR="001F77DD" w14:paraId="342240FA"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239DB11E" w14:textId="77777777" w:rsidR="001F77DD" w:rsidRDefault="00D97F9C">
            <w:pPr>
              <w:spacing w:before="60" w:after="60" w:line="240" w:lineRule="auto"/>
              <w:rPr>
                <w:rFonts w:ascii="Arial" w:hAnsi="Arial" w:cs="Arial"/>
                <w:sz w:val="20"/>
                <w:szCs w:val="20"/>
              </w:rPr>
            </w:pPr>
            <w:r>
              <w:rPr>
                <w:rFonts w:ascii="Arial" w:hAnsi="Arial" w:cs="Arial"/>
                <w:sz w:val="20"/>
                <w:szCs w:val="20"/>
              </w:rPr>
              <w:t>K13 Broj izdatih certifikata</w:t>
            </w:r>
          </w:p>
        </w:tc>
        <w:tc>
          <w:tcPr>
            <w:tcW w:w="3384"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73A08A63" w14:textId="77777777" w:rsidR="001F77DD" w:rsidRDefault="00D97F9C">
            <w:pPr>
              <w:spacing w:before="60" w:after="60" w:line="240" w:lineRule="auto"/>
              <w:rPr>
                <w:rFonts w:ascii="Arial" w:hAnsi="Arial" w:cs="Arial"/>
                <w:sz w:val="20"/>
                <w:szCs w:val="20"/>
              </w:rPr>
            </w:pPr>
            <w:r>
              <w:rPr>
                <w:rFonts w:ascii="Arial" w:hAnsi="Arial" w:cs="Arial"/>
                <w:sz w:val="20"/>
                <w:szCs w:val="20"/>
              </w:rPr>
              <w:t>Broj izdatih certifikata u periodu; odvojiti prvo izdavanje, obnovu i vrstu certifikata. Aktivni certifikati su poseban presjek stanja.</w:t>
            </w:r>
          </w:p>
        </w:tc>
        <w:tc>
          <w:tcPr>
            <w:tcW w:w="144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70E9E489"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57F13D40" w14:textId="77777777" w:rsidR="001F77DD" w:rsidRDefault="00D97F9C">
            <w:pPr>
              <w:spacing w:before="60" w:after="60" w:line="240" w:lineRule="auto"/>
              <w:rPr>
                <w:rFonts w:ascii="Arial" w:hAnsi="Arial" w:cs="Arial"/>
                <w:sz w:val="20"/>
                <w:szCs w:val="20"/>
              </w:rPr>
            </w:pPr>
            <w:r>
              <w:rPr>
                <w:rFonts w:ascii="Arial" w:hAnsi="Arial" w:cs="Arial"/>
                <w:sz w:val="20"/>
                <w:szCs w:val="20"/>
              </w:rPr>
              <w:t>100% urednih zahtjeva riješeno u odobrenom roku; obim u skladu sa potražnjom.</w:t>
            </w:r>
          </w:p>
        </w:tc>
        <w:tc>
          <w:tcPr>
            <w:tcW w:w="180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5CC7A63A" w14:textId="77777777" w:rsidR="001F77DD" w:rsidRDefault="00D97F9C">
            <w:pPr>
              <w:spacing w:before="60" w:after="60" w:line="240" w:lineRule="auto"/>
              <w:rPr>
                <w:rFonts w:ascii="Arial" w:hAnsi="Arial" w:cs="Arial"/>
                <w:sz w:val="20"/>
                <w:szCs w:val="20"/>
              </w:rPr>
            </w:pPr>
            <w:r>
              <w:rPr>
                <w:rFonts w:ascii="Arial" w:hAnsi="Arial" w:cs="Arial"/>
                <w:sz w:val="20"/>
                <w:szCs w:val="20"/>
              </w:rPr>
              <w:t>CA registar; RA evidencije; PKI izvještaji.</w:t>
            </w:r>
          </w:p>
        </w:tc>
        <w:tc>
          <w:tcPr>
            <w:tcW w:w="172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7240E113" w14:textId="77777777" w:rsidR="001F77DD" w:rsidRDefault="00D97F9C">
            <w:pPr>
              <w:spacing w:before="60" w:after="60" w:line="240" w:lineRule="auto"/>
              <w:rPr>
                <w:rFonts w:ascii="Arial" w:hAnsi="Arial" w:cs="Arial"/>
                <w:sz w:val="20"/>
                <w:szCs w:val="20"/>
              </w:rPr>
            </w:pPr>
            <w:r>
              <w:rPr>
                <w:rFonts w:ascii="Arial" w:hAnsi="Arial" w:cs="Arial"/>
                <w:sz w:val="20"/>
                <w:szCs w:val="20"/>
              </w:rPr>
              <w:t>Odgovorna funkcija ovjerioca i RA.</w:t>
            </w:r>
          </w:p>
        </w:tc>
        <w:tc>
          <w:tcPr>
            <w:tcW w:w="136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3E078638" w14:textId="77777777" w:rsidR="001F77DD" w:rsidRDefault="00D97F9C">
            <w:pPr>
              <w:spacing w:before="60" w:after="60" w:line="240" w:lineRule="auto"/>
              <w:rPr>
                <w:rFonts w:ascii="Arial" w:hAnsi="Arial" w:cs="Arial"/>
                <w:sz w:val="20"/>
                <w:szCs w:val="20"/>
              </w:rPr>
            </w:pPr>
            <w:r>
              <w:rPr>
                <w:rFonts w:ascii="Arial" w:hAnsi="Arial" w:cs="Arial"/>
                <w:sz w:val="20"/>
                <w:szCs w:val="20"/>
              </w:rPr>
              <w:t>Mjesečno; godišnje.</w:t>
            </w:r>
          </w:p>
        </w:tc>
      </w:tr>
      <w:tr w:rsidR="001F77DD" w14:paraId="212381D3"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673861F" w14:textId="77777777" w:rsidR="001F77DD" w:rsidRDefault="00D97F9C">
            <w:pPr>
              <w:spacing w:before="60" w:after="60" w:line="240" w:lineRule="auto"/>
              <w:rPr>
                <w:rFonts w:ascii="Arial" w:hAnsi="Arial" w:cs="Arial"/>
                <w:sz w:val="20"/>
                <w:szCs w:val="20"/>
              </w:rPr>
            </w:pPr>
            <w:r>
              <w:rPr>
                <w:rFonts w:ascii="Arial" w:hAnsi="Arial" w:cs="Arial"/>
                <w:sz w:val="20"/>
                <w:szCs w:val="20"/>
              </w:rPr>
              <w:t>K14 Broj aktivnih korisnika</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8ED4109" w14:textId="77777777" w:rsidR="001F77DD" w:rsidRDefault="00D97F9C">
            <w:pPr>
              <w:spacing w:before="60" w:after="60" w:line="240" w:lineRule="auto"/>
              <w:rPr>
                <w:rFonts w:ascii="Arial" w:hAnsi="Arial" w:cs="Arial"/>
                <w:sz w:val="20"/>
                <w:szCs w:val="20"/>
              </w:rPr>
            </w:pPr>
            <w:r>
              <w:rPr>
                <w:rFonts w:ascii="Arial" w:hAnsi="Arial" w:cs="Arial"/>
                <w:sz w:val="20"/>
                <w:szCs w:val="20"/>
              </w:rPr>
              <w:t>Broj jedinstvenih korisnika sa najmanje jednom uspješnom autentifikacijom ili poslovnom transakcijom u prethodnih 90 dana; ukloniti testne naloge.</w:t>
            </w:r>
          </w:p>
        </w:tc>
        <w:tc>
          <w:tcPr>
            <w:tcW w:w="14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0E4ADB8"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FE92F34" w14:textId="77777777" w:rsidR="001F77DD" w:rsidRDefault="00D97F9C">
            <w:pPr>
              <w:spacing w:before="60" w:after="60" w:line="240" w:lineRule="auto"/>
              <w:rPr>
                <w:rFonts w:ascii="Arial" w:hAnsi="Arial" w:cs="Arial"/>
                <w:sz w:val="20"/>
                <w:szCs w:val="20"/>
              </w:rPr>
            </w:pPr>
            <w:r>
              <w:rPr>
                <w:rFonts w:ascii="Arial" w:hAnsi="Arial" w:cs="Arial"/>
                <w:sz w:val="20"/>
                <w:szCs w:val="20"/>
              </w:rPr>
              <w:t>≥150% B27 na kraju 2031; odvojeno po servisu, uz zakonitu obradu podataka.</w:t>
            </w:r>
          </w:p>
        </w:tc>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FC4C30B" w14:textId="77777777" w:rsidR="001F77DD" w:rsidRDefault="00D97F9C">
            <w:pPr>
              <w:spacing w:before="60" w:after="60" w:line="240" w:lineRule="auto"/>
              <w:rPr>
                <w:rFonts w:ascii="Arial" w:hAnsi="Arial" w:cs="Arial"/>
                <w:sz w:val="20"/>
                <w:szCs w:val="20"/>
              </w:rPr>
            </w:pPr>
            <w:r>
              <w:rPr>
                <w:rFonts w:ascii="Arial" w:hAnsi="Arial" w:cs="Arial"/>
                <w:sz w:val="20"/>
                <w:szCs w:val="20"/>
              </w:rPr>
              <w:t>Agregirana autentifikacijska i aplikativna statistika.</w:t>
            </w:r>
          </w:p>
        </w:tc>
        <w:tc>
          <w:tcPr>
            <w:tcW w:w="172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A7B5F13" w14:textId="77777777" w:rsidR="001F77DD" w:rsidRDefault="00D97F9C">
            <w:pPr>
              <w:spacing w:before="60" w:after="60" w:line="240" w:lineRule="auto"/>
              <w:rPr>
                <w:rFonts w:ascii="Arial" w:hAnsi="Arial" w:cs="Arial"/>
                <w:sz w:val="20"/>
                <w:szCs w:val="20"/>
              </w:rPr>
            </w:pPr>
            <w:r>
              <w:rPr>
                <w:rFonts w:ascii="Arial" w:hAnsi="Arial" w:cs="Arial"/>
                <w:sz w:val="20"/>
                <w:szCs w:val="20"/>
              </w:rPr>
              <w:t>Vlasnik digitalnog servisa, uz Tehnički sektor.</w:t>
            </w:r>
          </w:p>
        </w:tc>
        <w:tc>
          <w:tcPr>
            <w:tcW w:w="136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9FB5330" w14:textId="77777777" w:rsidR="001F77DD" w:rsidRDefault="00D97F9C">
            <w:pPr>
              <w:spacing w:before="60" w:after="60" w:line="240" w:lineRule="auto"/>
              <w:rPr>
                <w:rFonts w:ascii="Arial" w:hAnsi="Arial" w:cs="Arial"/>
                <w:sz w:val="20"/>
                <w:szCs w:val="20"/>
              </w:rPr>
            </w:pPr>
            <w:r>
              <w:rPr>
                <w:rFonts w:ascii="Arial" w:hAnsi="Arial" w:cs="Arial"/>
                <w:sz w:val="20"/>
                <w:szCs w:val="20"/>
              </w:rPr>
              <w:t>Mjesečno; klizni period 90 dana.</w:t>
            </w:r>
          </w:p>
        </w:tc>
      </w:tr>
      <w:tr w:rsidR="001F77DD" w14:paraId="6A384EAC"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1B999416" w14:textId="77777777" w:rsidR="001F77DD" w:rsidRDefault="00D97F9C">
            <w:pPr>
              <w:spacing w:before="60" w:after="60" w:line="240" w:lineRule="auto"/>
              <w:rPr>
                <w:rFonts w:ascii="Arial" w:hAnsi="Arial" w:cs="Arial"/>
                <w:sz w:val="20"/>
                <w:szCs w:val="20"/>
              </w:rPr>
            </w:pPr>
            <w:r>
              <w:rPr>
                <w:rFonts w:ascii="Arial" w:hAnsi="Arial" w:cs="Arial"/>
                <w:sz w:val="20"/>
                <w:szCs w:val="20"/>
              </w:rPr>
              <w:t>K15 Uspješnost elektronskog potpisivanja</w:t>
            </w:r>
          </w:p>
        </w:tc>
        <w:tc>
          <w:tcPr>
            <w:tcW w:w="3384"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6DD2D7FF" w14:textId="77777777" w:rsidR="001F77DD" w:rsidRDefault="00D97F9C">
            <w:pPr>
              <w:spacing w:before="60" w:after="60" w:line="240" w:lineRule="auto"/>
              <w:rPr>
                <w:rFonts w:ascii="Arial" w:hAnsi="Arial" w:cs="Arial"/>
                <w:sz w:val="20"/>
                <w:szCs w:val="20"/>
              </w:rPr>
            </w:pPr>
            <w:r>
              <w:rPr>
                <w:rFonts w:ascii="Arial" w:hAnsi="Arial" w:cs="Arial"/>
                <w:sz w:val="20"/>
                <w:szCs w:val="20"/>
              </w:rPr>
              <w:t>Broj tehnički uspješnih operacija potpisivanja / broj validnih zahtjeva za potpisivanje × 100; prikazati i broj potpisa.</w:t>
            </w:r>
          </w:p>
        </w:tc>
        <w:tc>
          <w:tcPr>
            <w:tcW w:w="144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4CB540D4"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6084F422" w14:textId="77777777" w:rsidR="001F77DD" w:rsidRDefault="00D97F9C">
            <w:pPr>
              <w:spacing w:before="60" w:after="60" w:line="240" w:lineRule="auto"/>
              <w:rPr>
                <w:rFonts w:ascii="Arial" w:hAnsi="Arial" w:cs="Arial"/>
                <w:sz w:val="20"/>
                <w:szCs w:val="20"/>
              </w:rPr>
            </w:pPr>
            <w:r>
              <w:rPr>
                <w:rFonts w:ascii="Arial" w:hAnsi="Arial" w:cs="Arial"/>
                <w:sz w:val="20"/>
                <w:szCs w:val="20"/>
              </w:rPr>
              <w:t>≥99,5% uspješnih operacija.</w:t>
            </w:r>
          </w:p>
        </w:tc>
        <w:tc>
          <w:tcPr>
            <w:tcW w:w="180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6796A480" w14:textId="77777777" w:rsidR="001F77DD" w:rsidRDefault="00D97F9C">
            <w:pPr>
              <w:spacing w:before="60" w:after="60" w:line="240" w:lineRule="auto"/>
              <w:rPr>
                <w:rFonts w:ascii="Arial" w:hAnsi="Arial" w:cs="Arial"/>
                <w:sz w:val="20"/>
                <w:szCs w:val="20"/>
              </w:rPr>
            </w:pPr>
            <w:r>
              <w:rPr>
                <w:rFonts w:ascii="Arial" w:hAnsi="Arial" w:cs="Arial"/>
                <w:sz w:val="20"/>
                <w:szCs w:val="20"/>
              </w:rPr>
              <w:t>PKI i aplikativni logovi; agregirana statistika.</w:t>
            </w:r>
          </w:p>
        </w:tc>
        <w:tc>
          <w:tcPr>
            <w:tcW w:w="172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1931AEC6" w14:textId="77777777" w:rsidR="001F77DD" w:rsidRDefault="00D97F9C">
            <w:pPr>
              <w:spacing w:before="60" w:after="60" w:line="240" w:lineRule="auto"/>
              <w:rPr>
                <w:rFonts w:ascii="Arial" w:hAnsi="Arial" w:cs="Arial"/>
                <w:sz w:val="20"/>
                <w:szCs w:val="20"/>
              </w:rPr>
            </w:pPr>
            <w:r>
              <w:rPr>
                <w:rFonts w:ascii="Arial" w:hAnsi="Arial" w:cs="Arial"/>
                <w:sz w:val="20"/>
                <w:szCs w:val="20"/>
              </w:rPr>
              <w:t>Odgovorna funkcija ovjerioca.</w:t>
            </w:r>
          </w:p>
        </w:tc>
        <w:tc>
          <w:tcPr>
            <w:tcW w:w="136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220AA777" w14:textId="77777777" w:rsidR="001F77DD" w:rsidRDefault="00D97F9C">
            <w:pPr>
              <w:spacing w:before="60" w:after="60" w:line="240" w:lineRule="auto"/>
              <w:rPr>
                <w:rFonts w:ascii="Arial" w:hAnsi="Arial" w:cs="Arial"/>
                <w:sz w:val="20"/>
                <w:szCs w:val="20"/>
              </w:rPr>
            </w:pPr>
            <w:r>
              <w:rPr>
                <w:rFonts w:ascii="Arial" w:hAnsi="Arial" w:cs="Arial"/>
                <w:sz w:val="20"/>
                <w:szCs w:val="20"/>
              </w:rPr>
              <w:t>Kontinuirano; mjesečno.</w:t>
            </w:r>
          </w:p>
        </w:tc>
      </w:tr>
      <w:tr w:rsidR="001F77DD" w14:paraId="0D2F0038"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153532E" w14:textId="77777777" w:rsidR="001F77DD" w:rsidRDefault="00D97F9C">
            <w:pPr>
              <w:spacing w:before="60" w:after="60" w:line="240" w:lineRule="auto"/>
              <w:rPr>
                <w:rFonts w:ascii="Arial" w:hAnsi="Arial" w:cs="Arial"/>
                <w:sz w:val="20"/>
                <w:szCs w:val="20"/>
              </w:rPr>
            </w:pPr>
            <w:r>
              <w:rPr>
                <w:rFonts w:ascii="Arial" w:hAnsi="Arial" w:cs="Arial"/>
                <w:sz w:val="20"/>
                <w:szCs w:val="20"/>
              </w:rPr>
              <w:t>K16 Raspoloživost identitetskih i PKI servisa</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4AAE77F" w14:textId="77777777" w:rsidR="001F77DD" w:rsidRDefault="00D97F9C">
            <w:pPr>
              <w:spacing w:before="60" w:after="60" w:line="240" w:lineRule="auto"/>
              <w:rPr>
                <w:rFonts w:ascii="Arial" w:hAnsi="Arial" w:cs="Arial"/>
                <w:sz w:val="20"/>
                <w:szCs w:val="20"/>
              </w:rPr>
            </w:pPr>
            <w:r>
              <w:rPr>
                <w:rFonts w:ascii="Arial" w:hAnsi="Arial" w:cs="Arial"/>
                <w:sz w:val="20"/>
                <w:szCs w:val="20"/>
              </w:rPr>
              <w:t>Raspoloživost autentifikacije, udaljenog potpisivanja i ključnih servisa provjere certifikata; po pojedinačnom servisu.</w:t>
            </w:r>
          </w:p>
        </w:tc>
        <w:tc>
          <w:tcPr>
            <w:tcW w:w="14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B7FE089"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3D5A2BD" w14:textId="77777777" w:rsidR="001F77DD" w:rsidRDefault="00D97F9C">
            <w:pPr>
              <w:spacing w:before="60" w:after="60" w:line="240" w:lineRule="auto"/>
              <w:rPr>
                <w:rFonts w:ascii="Arial" w:hAnsi="Arial" w:cs="Arial"/>
                <w:sz w:val="20"/>
                <w:szCs w:val="20"/>
              </w:rPr>
            </w:pPr>
            <w:r>
              <w:rPr>
                <w:rFonts w:ascii="Arial" w:hAnsi="Arial" w:cs="Arial"/>
                <w:sz w:val="20"/>
                <w:szCs w:val="20"/>
              </w:rPr>
              <w:t>≥99,9% za svaki kritični servis.</w:t>
            </w:r>
          </w:p>
        </w:tc>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5D1049F" w14:textId="77777777" w:rsidR="001F77DD" w:rsidRDefault="00D97F9C">
            <w:pPr>
              <w:spacing w:before="60" w:after="60" w:line="240" w:lineRule="auto"/>
              <w:rPr>
                <w:rFonts w:ascii="Arial" w:hAnsi="Arial" w:cs="Arial"/>
                <w:sz w:val="20"/>
                <w:szCs w:val="20"/>
              </w:rPr>
            </w:pPr>
            <w:r>
              <w:rPr>
                <w:rFonts w:ascii="Arial" w:hAnsi="Arial" w:cs="Arial"/>
                <w:sz w:val="20"/>
                <w:szCs w:val="20"/>
              </w:rPr>
              <w:t>Monitoring; CA/OCSP/CRL i aplikativni logovi.</w:t>
            </w:r>
          </w:p>
        </w:tc>
        <w:tc>
          <w:tcPr>
            <w:tcW w:w="172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EAB5167" w14:textId="77777777" w:rsidR="001F77DD" w:rsidRDefault="00D97F9C">
            <w:pPr>
              <w:spacing w:before="60" w:after="60" w:line="240" w:lineRule="auto"/>
              <w:rPr>
                <w:rFonts w:ascii="Arial" w:hAnsi="Arial" w:cs="Arial"/>
                <w:sz w:val="20"/>
                <w:szCs w:val="20"/>
              </w:rPr>
            </w:pPr>
            <w:r>
              <w:rPr>
                <w:rFonts w:ascii="Arial" w:hAnsi="Arial" w:cs="Arial"/>
                <w:sz w:val="20"/>
                <w:szCs w:val="20"/>
              </w:rPr>
              <w:t>Tehnički sektor i ovjerilac.</w:t>
            </w:r>
          </w:p>
        </w:tc>
        <w:tc>
          <w:tcPr>
            <w:tcW w:w="136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D5ED02F" w14:textId="77777777" w:rsidR="001F77DD" w:rsidRDefault="00D97F9C">
            <w:pPr>
              <w:spacing w:before="60" w:after="60" w:line="240" w:lineRule="auto"/>
              <w:rPr>
                <w:rFonts w:ascii="Arial" w:hAnsi="Arial" w:cs="Arial"/>
                <w:sz w:val="20"/>
                <w:szCs w:val="20"/>
              </w:rPr>
            </w:pPr>
            <w:r>
              <w:rPr>
                <w:rFonts w:ascii="Arial" w:hAnsi="Arial" w:cs="Arial"/>
                <w:sz w:val="20"/>
                <w:szCs w:val="20"/>
              </w:rPr>
              <w:t>Kontinuirano; mjesečno.</w:t>
            </w:r>
          </w:p>
        </w:tc>
      </w:tr>
    </w:tbl>
    <w:p w14:paraId="422C5EBC" w14:textId="77777777" w:rsidR="001F77DD" w:rsidRDefault="00D97F9C">
      <w:pPr>
        <w:rPr>
          <w:rFonts w:ascii="Arial" w:hAnsi="Arial" w:cs="Arial"/>
          <w:sz w:val="20"/>
          <w:szCs w:val="20"/>
        </w:rPr>
      </w:pPr>
      <w:r>
        <w:rPr>
          <w:rFonts w:ascii="Arial" w:hAnsi="Arial" w:cs="Arial"/>
          <w:sz w:val="20"/>
          <w:szCs w:val="20"/>
        </w:rPr>
        <w:br w:type="page" w:clear="all"/>
      </w:r>
    </w:p>
    <w:p w14:paraId="3B3B2AF0" w14:textId="77777777" w:rsidR="001F77DD" w:rsidRDefault="00D97F9C">
      <w:pPr>
        <w:pStyle w:val="Heading1"/>
        <w:rPr>
          <w:sz w:val="20"/>
          <w:szCs w:val="20"/>
        </w:rPr>
      </w:pPr>
      <w:r>
        <w:rPr>
          <w:sz w:val="20"/>
          <w:szCs w:val="20"/>
        </w:rPr>
        <w:lastRenderedPageBreak/>
        <w:t>SC5 Cyber sigurnost zaštita podataka i oporavak</w:t>
      </w:r>
    </w:p>
    <w:tbl>
      <w:tblPr>
        <w:tblW w:w="0" w:type="auto"/>
        <w:jc w:val="center"/>
        <w:tblLayout w:type="fixed"/>
        <w:tblLook w:val="04A0" w:firstRow="1" w:lastRow="0" w:firstColumn="1" w:lastColumn="0" w:noHBand="0" w:noVBand="1"/>
      </w:tblPr>
      <w:tblGrid>
        <w:gridCol w:w="1872"/>
        <w:gridCol w:w="3384"/>
        <w:gridCol w:w="1440"/>
        <w:gridCol w:w="2952"/>
        <w:gridCol w:w="1800"/>
        <w:gridCol w:w="1728"/>
        <w:gridCol w:w="1368"/>
      </w:tblGrid>
      <w:tr w:rsidR="001F77DD" w14:paraId="5F280EC0" w14:textId="77777777">
        <w:trPr>
          <w:cantSplit/>
          <w:tblHeader/>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67EB0E74" w14:textId="77777777" w:rsidR="001F77DD" w:rsidRDefault="00D97F9C">
            <w:pPr>
              <w:spacing w:before="60" w:after="60" w:line="240" w:lineRule="auto"/>
              <w:rPr>
                <w:rFonts w:ascii="Arial" w:hAnsi="Arial" w:cs="Arial"/>
                <w:sz w:val="20"/>
                <w:szCs w:val="20"/>
              </w:rPr>
            </w:pPr>
            <w:r>
              <w:rPr>
                <w:rFonts w:ascii="Arial" w:hAnsi="Arial" w:cs="Arial"/>
                <w:b/>
                <w:sz w:val="20"/>
                <w:szCs w:val="20"/>
              </w:rPr>
              <w:t>Naziv indikatora</w:t>
            </w:r>
          </w:p>
        </w:tc>
        <w:tc>
          <w:tcPr>
            <w:tcW w:w="3384"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3F966D1B" w14:textId="77777777" w:rsidR="001F77DD" w:rsidRDefault="00D97F9C">
            <w:pPr>
              <w:spacing w:before="60" w:after="60" w:line="240" w:lineRule="auto"/>
              <w:rPr>
                <w:rFonts w:ascii="Arial" w:hAnsi="Arial" w:cs="Arial"/>
                <w:sz w:val="20"/>
                <w:szCs w:val="20"/>
              </w:rPr>
            </w:pPr>
            <w:r>
              <w:rPr>
                <w:rFonts w:ascii="Arial" w:hAnsi="Arial" w:cs="Arial"/>
                <w:b/>
                <w:sz w:val="20"/>
                <w:szCs w:val="20"/>
              </w:rPr>
              <w:t>Definicija i obračun</w:t>
            </w:r>
          </w:p>
        </w:tc>
        <w:tc>
          <w:tcPr>
            <w:tcW w:w="1440"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08E46D0B" w14:textId="77777777" w:rsidR="001F77DD" w:rsidRDefault="00D97F9C">
            <w:pPr>
              <w:spacing w:before="60" w:after="60" w:line="240" w:lineRule="auto"/>
              <w:rPr>
                <w:rFonts w:ascii="Arial" w:hAnsi="Arial" w:cs="Arial"/>
                <w:sz w:val="20"/>
                <w:szCs w:val="20"/>
              </w:rPr>
            </w:pPr>
            <w:r>
              <w:rPr>
                <w:rFonts w:ascii="Arial" w:hAnsi="Arial" w:cs="Arial"/>
                <w:b/>
                <w:sz w:val="20"/>
                <w:szCs w:val="20"/>
              </w:rPr>
              <w:t>Baseline</w:t>
            </w:r>
          </w:p>
        </w:tc>
        <w:tc>
          <w:tcPr>
            <w:tcW w:w="2952"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3E37F65E" w14:textId="77777777" w:rsidR="001F77DD" w:rsidRDefault="00D97F9C">
            <w:pPr>
              <w:spacing w:before="60" w:after="60" w:line="240" w:lineRule="auto"/>
              <w:rPr>
                <w:rFonts w:ascii="Arial" w:hAnsi="Arial" w:cs="Arial"/>
                <w:sz w:val="20"/>
                <w:szCs w:val="20"/>
              </w:rPr>
            </w:pPr>
            <w:r>
              <w:rPr>
                <w:rFonts w:ascii="Arial" w:hAnsi="Arial" w:cs="Arial"/>
                <w:b/>
                <w:sz w:val="20"/>
                <w:szCs w:val="20"/>
              </w:rPr>
              <w:t>Cilj</w:t>
            </w:r>
          </w:p>
        </w:tc>
        <w:tc>
          <w:tcPr>
            <w:tcW w:w="1800"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03F356E8" w14:textId="77777777" w:rsidR="001F77DD" w:rsidRDefault="00D97F9C">
            <w:pPr>
              <w:spacing w:before="60" w:after="60" w:line="240" w:lineRule="auto"/>
              <w:rPr>
                <w:rFonts w:ascii="Arial" w:hAnsi="Arial" w:cs="Arial"/>
                <w:sz w:val="20"/>
                <w:szCs w:val="20"/>
              </w:rPr>
            </w:pPr>
            <w:r>
              <w:rPr>
                <w:rFonts w:ascii="Arial" w:hAnsi="Arial" w:cs="Arial"/>
                <w:b/>
                <w:sz w:val="20"/>
                <w:szCs w:val="20"/>
              </w:rPr>
              <w:t>Izvor podataka</w:t>
            </w:r>
          </w:p>
        </w:tc>
        <w:tc>
          <w:tcPr>
            <w:tcW w:w="1728"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2959C532" w14:textId="77777777" w:rsidR="001F77DD" w:rsidRDefault="00D97F9C">
            <w:pPr>
              <w:spacing w:before="60" w:after="60" w:line="240" w:lineRule="auto"/>
              <w:rPr>
                <w:rFonts w:ascii="Arial" w:hAnsi="Arial" w:cs="Arial"/>
                <w:sz w:val="20"/>
                <w:szCs w:val="20"/>
              </w:rPr>
            </w:pPr>
            <w:r>
              <w:rPr>
                <w:rFonts w:ascii="Arial" w:hAnsi="Arial" w:cs="Arial"/>
                <w:b/>
                <w:sz w:val="20"/>
                <w:szCs w:val="20"/>
              </w:rPr>
              <w:t>Vlasnik</w:t>
            </w:r>
          </w:p>
        </w:tc>
        <w:tc>
          <w:tcPr>
            <w:tcW w:w="1368"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73EECA81" w14:textId="77777777" w:rsidR="001F77DD" w:rsidRDefault="00D97F9C">
            <w:pPr>
              <w:spacing w:before="60" w:after="60" w:line="240" w:lineRule="auto"/>
              <w:rPr>
                <w:rFonts w:ascii="Arial" w:hAnsi="Arial" w:cs="Arial"/>
                <w:sz w:val="20"/>
                <w:szCs w:val="20"/>
              </w:rPr>
            </w:pPr>
            <w:r>
              <w:rPr>
                <w:rFonts w:ascii="Arial" w:hAnsi="Arial" w:cs="Arial"/>
                <w:b/>
                <w:sz w:val="20"/>
                <w:szCs w:val="20"/>
              </w:rPr>
              <w:t>Učestalost</w:t>
            </w:r>
          </w:p>
        </w:tc>
      </w:tr>
      <w:tr w:rsidR="001F77DD" w14:paraId="1ECAD49D"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493BE23C" w14:textId="77777777" w:rsidR="001F77DD" w:rsidRDefault="00D97F9C">
            <w:pPr>
              <w:spacing w:before="60" w:after="60" w:line="240" w:lineRule="auto"/>
              <w:rPr>
                <w:rFonts w:ascii="Arial" w:hAnsi="Arial" w:cs="Arial"/>
                <w:sz w:val="20"/>
                <w:szCs w:val="20"/>
              </w:rPr>
            </w:pPr>
            <w:r>
              <w:rPr>
                <w:rFonts w:ascii="Arial" w:hAnsi="Arial" w:cs="Arial"/>
                <w:sz w:val="20"/>
                <w:szCs w:val="20"/>
              </w:rPr>
              <w:t>K17 Broj potvrđenih sigurnosnih incidenata</w:t>
            </w:r>
          </w:p>
        </w:tc>
        <w:tc>
          <w:tcPr>
            <w:tcW w:w="3384"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1962EDF8" w14:textId="77777777" w:rsidR="001F77DD" w:rsidRDefault="00D97F9C">
            <w:pPr>
              <w:spacing w:before="60" w:after="60" w:line="240" w:lineRule="auto"/>
              <w:rPr>
                <w:rFonts w:ascii="Arial" w:hAnsi="Arial" w:cs="Arial"/>
                <w:sz w:val="20"/>
                <w:szCs w:val="20"/>
              </w:rPr>
            </w:pPr>
            <w:r>
              <w:rPr>
                <w:rFonts w:ascii="Arial" w:hAnsi="Arial" w:cs="Arial"/>
                <w:sz w:val="20"/>
                <w:szCs w:val="20"/>
              </w:rPr>
              <w:t>Broj zasebnih potvrđenih incidenata, po ozbiljnosti, sistemu i posljedici; alarmi bez potvrde se ne računaju.</w:t>
            </w:r>
          </w:p>
        </w:tc>
        <w:tc>
          <w:tcPr>
            <w:tcW w:w="144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034FF23A"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2D0C5837" w14:textId="77777777" w:rsidR="001F77DD" w:rsidRDefault="00D97F9C">
            <w:pPr>
              <w:spacing w:before="60" w:after="60" w:line="240" w:lineRule="auto"/>
              <w:rPr>
                <w:rFonts w:ascii="Arial" w:hAnsi="Arial" w:cs="Arial"/>
                <w:sz w:val="20"/>
                <w:szCs w:val="20"/>
              </w:rPr>
            </w:pPr>
            <w:r>
              <w:rPr>
                <w:rFonts w:ascii="Arial" w:hAnsi="Arial" w:cs="Arial"/>
                <w:sz w:val="20"/>
                <w:szCs w:val="20"/>
              </w:rPr>
              <w:t>100% evidentirano i obrađeno; stopa incidenata visokog/kritičnog uticaja po 1.000.000 transakcija ≤80% B27.</w:t>
            </w:r>
          </w:p>
        </w:tc>
        <w:tc>
          <w:tcPr>
            <w:tcW w:w="180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4DA0F1DA" w14:textId="77777777" w:rsidR="001F77DD" w:rsidRDefault="00D97F9C">
            <w:pPr>
              <w:spacing w:before="60" w:after="60" w:line="240" w:lineRule="auto"/>
              <w:rPr>
                <w:rFonts w:ascii="Arial" w:hAnsi="Arial" w:cs="Arial"/>
                <w:sz w:val="20"/>
                <w:szCs w:val="20"/>
              </w:rPr>
            </w:pPr>
            <w:r>
              <w:rPr>
                <w:rFonts w:ascii="Arial" w:hAnsi="Arial" w:cs="Arial"/>
                <w:sz w:val="20"/>
                <w:szCs w:val="20"/>
              </w:rPr>
              <w:t>Registar incidenata; SIEM; izvještaji istrage.</w:t>
            </w:r>
          </w:p>
        </w:tc>
        <w:tc>
          <w:tcPr>
            <w:tcW w:w="172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326B07B2" w14:textId="77777777" w:rsidR="001F77DD" w:rsidRDefault="00D97F9C">
            <w:pPr>
              <w:spacing w:before="60" w:after="60" w:line="240" w:lineRule="auto"/>
              <w:rPr>
                <w:rFonts w:ascii="Arial" w:hAnsi="Arial" w:cs="Arial"/>
                <w:sz w:val="20"/>
                <w:szCs w:val="20"/>
              </w:rPr>
            </w:pPr>
            <w:r>
              <w:rPr>
                <w:rFonts w:ascii="Arial" w:hAnsi="Arial" w:cs="Arial"/>
                <w:sz w:val="20"/>
                <w:szCs w:val="20"/>
              </w:rPr>
              <w:t>Funkcija cyber sigurnosti.</w:t>
            </w:r>
          </w:p>
        </w:tc>
        <w:tc>
          <w:tcPr>
            <w:tcW w:w="136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4F1306CA" w14:textId="77777777" w:rsidR="001F77DD" w:rsidRDefault="00D97F9C">
            <w:pPr>
              <w:spacing w:before="60" w:after="60" w:line="240" w:lineRule="auto"/>
              <w:rPr>
                <w:rFonts w:ascii="Arial" w:hAnsi="Arial" w:cs="Arial"/>
                <w:sz w:val="20"/>
                <w:szCs w:val="20"/>
              </w:rPr>
            </w:pPr>
            <w:r>
              <w:rPr>
                <w:rFonts w:ascii="Arial" w:hAnsi="Arial" w:cs="Arial"/>
                <w:sz w:val="20"/>
                <w:szCs w:val="20"/>
              </w:rPr>
              <w:t>Po incidentu; mjesečno.</w:t>
            </w:r>
          </w:p>
        </w:tc>
      </w:tr>
      <w:tr w:rsidR="001F77DD" w14:paraId="664B3DFC"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AA361CA" w14:textId="77777777" w:rsidR="001F77DD" w:rsidRDefault="00D97F9C">
            <w:pPr>
              <w:spacing w:before="60" w:after="60" w:line="240" w:lineRule="auto"/>
              <w:rPr>
                <w:rFonts w:ascii="Arial" w:hAnsi="Arial" w:cs="Arial"/>
                <w:sz w:val="20"/>
                <w:szCs w:val="20"/>
              </w:rPr>
            </w:pPr>
            <w:r>
              <w:rPr>
                <w:rFonts w:ascii="Arial" w:hAnsi="Arial" w:cs="Arial"/>
                <w:sz w:val="20"/>
                <w:szCs w:val="20"/>
              </w:rPr>
              <w:t>K18 Vrijeme detekcije incidenta</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8EB8E1F" w14:textId="77777777" w:rsidR="001F77DD" w:rsidRDefault="00D97F9C">
            <w:pPr>
              <w:spacing w:before="60" w:after="60" w:line="240" w:lineRule="auto"/>
              <w:rPr>
                <w:rFonts w:ascii="Arial" w:hAnsi="Arial" w:cs="Arial"/>
                <w:sz w:val="20"/>
                <w:szCs w:val="20"/>
              </w:rPr>
            </w:pPr>
            <w:r>
              <w:rPr>
                <w:rFonts w:ascii="Arial" w:hAnsi="Arial" w:cs="Arial"/>
                <w:sz w:val="20"/>
                <w:szCs w:val="20"/>
              </w:rPr>
              <w:t>Medijana i P95 vremena od prvog dokazivog zlonamjernog događaja do detekcije; nepoznat početak označiti i prikazati obuhvat.</w:t>
            </w:r>
          </w:p>
        </w:tc>
        <w:tc>
          <w:tcPr>
            <w:tcW w:w="14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FB83253"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86F65AE" w14:textId="77777777" w:rsidR="001F77DD" w:rsidRDefault="00D97F9C">
            <w:pPr>
              <w:spacing w:before="60" w:after="60" w:line="240" w:lineRule="auto"/>
              <w:rPr>
                <w:rFonts w:ascii="Arial" w:hAnsi="Arial" w:cs="Arial"/>
                <w:sz w:val="20"/>
                <w:szCs w:val="20"/>
              </w:rPr>
            </w:pPr>
            <w:r>
              <w:rPr>
                <w:rFonts w:ascii="Arial" w:hAnsi="Arial" w:cs="Arial"/>
                <w:sz w:val="20"/>
                <w:szCs w:val="20"/>
              </w:rPr>
              <w:t>P95 ≤50% B27; 100% kritičnih sistema pod monitoringom.</w:t>
            </w:r>
          </w:p>
        </w:tc>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49CA1A5" w14:textId="77777777" w:rsidR="001F77DD" w:rsidRDefault="00D97F9C">
            <w:pPr>
              <w:spacing w:before="60" w:after="60" w:line="240" w:lineRule="auto"/>
              <w:rPr>
                <w:rFonts w:ascii="Arial" w:hAnsi="Arial" w:cs="Arial"/>
                <w:sz w:val="20"/>
                <w:szCs w:val="20"/>
              </w:rPr>
            </w:pPr>
            <w:r>
              <w:rPr>
                <w:rFonts w:ascii="Arial" w:hAnsi="Arial" w:cs="Arial"/>
                <w:sz w:val="20"/>
                <w:szCs w:val="20"/>
              </w:rPr>
              <w:t>SIEM; vremenske oznake; izvještaji istrage.</w:t>
            </w:r>
          </w:p>
        </w:tc>
        <w:tc>
          <w:tcPr>
            <w:tcW w:w="172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7F22430" w14:textId="77777777" w:rsidR="001F77DD" w:rsidRDefault="00D97F9C">
            <w:pPr>
              <w:spacing w:before="60" w:after="60" w:line="240" w:lineRule="auto"/>
              <w:rPr>
                <w:rFonts w:ascii="Arial" w:hAnsi="Arial" w:cs="Arial"/>
                <w:sz w:val="20"/>
                <w:szCs w:val="20"/>
              </w:rPr>
            </w:pPr>
            <w:r>
              <w:rPr>
                <w:rFonts w:ascii="Arial" w:hAnsi="Arial" w:cs="Arial"/>
                <w:sz w:val="20"/>
                <w:szCs w:val="20"/>
              </w:rPr>
              <w:t>Funkcija cyber sigurnosti.</w:t>
            </w:r>
          </w:p>
        </w:tc>
        <w:tc>
          <w:tcPr>
            <w:tcW w:w="136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F6318FB" w14:textId="77777777" w:rsidR="001F77DD" w:rsidRDefault="00D97F9C">
            <w:pPr>
              <w:spacing w:before="60" w:after="60" w:line="240" w:lineRule="auto"/>
              <w:rPr>
                <w:rFonts w:ascii="Arial" w:hAnsi="Arial" w:cs="Arial"/>
                <w:sz w:val="20"/>
                <w:szCs w:val="20"/>
              </w:rPr>
            </w:pPr>
            <w:r>
              <w:rPr>
                <w:rFonts w:ascii="Arial" w:hAnsi="Arial" w:cs="Arial"/>
                <w:sz w:val="20"/>
                <w:szCs w:val="20"/>
              </w:rPr>
              <w:t>Po incidentu; kvartalno.</w:t>
            </w:r>
          </w:p>
        </w:tc>
      </w:tr>
      <w:tr w:rsidR="001F77DD" w14:paraId="6F95DA2A"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729DC7CD" w14:textId="77777777" w:rsidR="001F77DD" w:rsidRDefault="00D97F9C">
            <w:pPr>
              <w:spacing w:before="60" w:after="60" w:line="240" w:lineRule="auto"/>
              <w:rPr>
                <w:rFonts w:ascii="Arial" w:hAnsi="Arial" w:cs="Arial"/>
                <w:sz w:val="20"/>
                <w:szCs w:val="20"/>
              </w:rPr>
            </w:pPr>
            <w:r>
              <w:rPr>
                <w:rFonts w:ascii="Arial" w:hAnsi="Arial" w:cs="Arial"/>
                <w:sz w:val="20"/>
                <w:szCs w:val="20"/>
              </w:rPr>
              <w:t>K19 Vrijeme oporavka nakon incidenta</w:t>
            </w:r>
          </w:p>
        </w:tc>
        <w:tc>
          <w:tcPr>
            <w:tcW w:w="3384"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2A06FF08" w14:textId="77777777" w:rsidR="001F77DD" w:rsidRDefault="00D97F9C">
            <w:pPr>
              <w:spacing w:before="60" w:after="60" w:line="240" w:lineRule="auto"/>
              <w:rPr>
                <w:rFonts w:ascii="Arial" w:hAnsi="Arial" w:cs="Arial"/>
                <w:sz w:val="20"/>
                <w:szCs w:val="20"/>
              </w:rPr>
            </w:pPr>
            <w:r>
              <w:rPr>
                <w:rFonts w:ascii="Arial" w:hAnsi="Arial" w:cs="Arial"/>
                <w:sz w:val="20"/>
                <w:szCs w:val="20"/>
              </w:rPr>
              <w:t>Medijana i P95 vremena od prekida usluge do potvrđene stabilne i sigurne obnove; odvojeno od vremena zatvaranja incidenta.</w:t>
            </w:r>
          </w:p>
        </w:tc>
        <w:tc>
          <w:tcPr>
            <w:tcW w:w="144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69729D9C"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6D15635A" w14:textId="77777777" w:rsidR="001F77DD" w:rsidRDefault="00D97F9C">
            <w:pPr>
              <w:spacing w:before="60" w:after="60" w:line="240" w:lineRule="auto"/>
              <w:rPr>
                <w:rFonts w:ascii="Arial" w:hAnsi="Arial" w:cs="Arial"/>
                <w:sz w:val="20"/>
                <w:szCs w:val="20"/>
              </w:rPr>
            </w:pPr>
            <w:r>
              <w:rPr>
                <w:rFonts w:ascii="Arial" w:hAnsi="Arial" w:cs="Arial"/>
                <w:sz w:val="20"/>
                <w:szCs w:val="20"/>
              </w:rPr>
              <w:t>100% kritičnih usluga obnovljeno unutar odobrenog RTO-a.</w:t>
            </w:r>
          </w:p>
        </w:tc>
        <w:tc>
          <w:tcPr>
            <w:tcW w:w="180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6891734C" w14:textId="77777777" w:rsidR="001F77DD" w:rsidRDefault="00D97F9C">
            <w:pPr>
              <w:spacing w:before="60" w:after="60" w:line="240" w:lineRule="auto"/>
              <w:rPr>
                <w:rFonts w:ascii="Arial" w:hAnsi="Arial" w:cs="Arial"/>
                <w:sz w:val="20"/>
                <w:szCs w:val="20"/>
              </w:rPr>
            </w:pPr>
            <w:r>
              <w:rPr>
                <w:rFonts w:ascii="Arial" w:hAnsi="Arial" w:cs="Arial"/>
                <w:sz w:val="20"/>
                <w:szCs w:val="20"/>
              </w:rPr>
              <w:t>Registar incidenata; monitoring; zapisnici obnove.</w:t>
            </w:r>
          </w:p>
        </w:tc>
        <w:tc>
          <w:tcPr>
            <w:tcW w:w="172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2F011156" w14:textId="77777777" w:rsidR="001F77DD" w:rsidRDefault="00D97F9C">
            <w:pPr>
              <w:spacing w:before="60" w:after="60" w:line="240" w:lineRule="auto"/>
              <w:rPr>
                <w:rFonts w:ascii="Arial" w:hAnsi="Arial" w:cs="Arial"/>
                <w:sz w:val="20"/>
                <w:szCs w:val="20"/>
              </w:rPr>
            </w:pPr>
            <w:r>
              <w:rPr>
                <w:rFonts w:ascii="Arial" w:hAnsi="Arial" w:cs="Arial"/>
                <w:sz w:val="20"/>
                <w:szCs w:val="20"/>
              </w:rPr>
              <w:t>Vlasnik sistema uz cyber sigurnost.</w:t>
            </w:r>
          </w:p>
        </w:tc>
        <w:tc>
          <w:tcPr>
            <w:tcW w:w="136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5702EB34" w14:textId="77777777" w:rsidR="001F77DD" w:rsidRDefault="00D97F9C">
            <w:pPr>
              <w:spacing w:before="60" w:after="60" w:line="240" w:lineRule="auto"/>
              <w:rPr>
                <w:rFonts w:ascii="Arial" w:hAnsi="Arial" w:cs="Arial"/>
                <w:sz w:val="20"/>
                <w:szCs w:val="20"/>
              </w:rPr>
            </w:pPr>
            <w:r>
              <w:rPr>
                <w:rFonts w:ascii="Arial" w:hAnsi="Arial" w:cs="Arial"/>
                <w:sz w:val="20"/>
                <w:szCs w:val="20"/>
              </w:rPr>
              <w:t>Po incidentu; kvartalno.</w:t>
            </w:r>
          </w:p>
        </w:tc>
      </w:tr>
      <w:tr w:rsidR="001F77DD" w14:paraId="62DF737E"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2BB0CB9" w14:textId="77777777" w:rsidR="001F77DD" w:rsidRDefault="00D97F9C">
            <w:pPr>
              <w:spacing w:before="60" w:after="60" w:line="240" w:lineRule="auto"/>
              <w:rPr>
                <w:rFonts w:ascii="Arial" w:hAnsi="Arial" w:cs="Arial"/>
                <w:sz w:val="20"/>
                <w:szCs w:val="20"/>
              </w:rPr>
            </w:pPr>
            <w:r>
              <w:rPr>
                <w:rFonts w:ascii="Arial" w:hAnsi="Arial" w:cs="Arial"/>
                <w:sz w:val="20"/>
                <w:szCs w:val="20"/>
              </w:rPr>
              <w:t>K20 Broj kritičnih ranjivosti</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CE3E90D" w14:textId="77777777" w:rsidR="001F77DD" w:rsidRDefault="00D97F9C">
            <w:pPr>
              <w:spacing w:before="60" w:after="60" w:line="240" w:lineRule="auto"/>
              <w:rPr>
                <w:rFonts w:ascii="Arial" w:hAnsi="Arial" w:cs="Arial"/>
                <w:sz w:val="20"/>
                <w:szCs w:val="20"/>
              </w:rPr>
            </w:pPr>
            <w:r>
              <w:rPr>
                <w:rFonts w:ascii="Arial" w:hAnsi="Arial" w:cs="Arial"/>
                <w:sz w:val="20"/>
                <w:szCs w:val="20"/>
              </w:rPr>
              <w:t>Broj otvorenih potvrđenih kritičnih ranjivosti na dan presjeka; ukloniti duplikate i prikazati ukupne i one sa prekoračenim rokom.</w:t>
            </w:r>
          </w:p>
        </w:tc>
        <w:tc>
          <w:tcPr>
            <w:tcW w:w="14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E707B60"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C3A0231" w14:textId="77777777" w:rsidR="001F77DD" w:rsidRDefault="00D97F9C">
            <w:pPr>
              <w:spacing w:before="60" w:after="60" w:line="240" w:lineRule="auto"/>
              <w:rPr>
                <w:rFonts w:ascii="Arial" w:hAnsi="Arial" w:cs="Arial"/>
                <w:sz w:val="20"/>
                <w:szCs w:val="20"/>
              </w:rPr>
            </w:pPr>
            <w:r>
              <w:rPr>
                <w:rFonts w:ascii="Arial" w:hAnsi="Arial" w:cs="Arial"/>
                <w:sz w:val="20"/>
                <w:szCs w:val="20"/>
              </w:rPr>
              <w:t>0 kritičnih ranjivosti sa prekoračenim rokom; 100% kritičnih sistema obuhvaćeno provjerama.</w:t>
            </w:r>
          </w:p>
        </w:tc>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872F66F" w14:textId="77777777" w:rsidR="001F77DD" w:rsidRDefault="00D97F9C">
            <w:pPr>
              <w:spacing w:before="60" w:after="60" w:line="240" w:lineRule="auto"/>
              <w:rPr>
                <w:rFonts w:ascii="Arial" w:hAnsi="Arial" w:cs="Arial"/>
                <w:sz w:val="20"/>
                <w:szCs w:val="20"/>
              </w:rPr>
            </w:pPr>
            <w:r>
              <w:rPr>
                <w:rFonts w:ascii="Arial" w:hAnsi="Arial" w:cs="Arial"/>
                <w:sz w:val="20"/>
                <w:szCs w:val="20"/>
              </w:rPr>
              <w:t>Skeneri; penetracijski testovi; registar ranjivosti.</w:t>
            </w:r>
          </w:p>
        </w:tc>
        <w:tc>
          <w:tcPr>
            <w:tcW w:w="172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D64B1A1" w14:textId="77777777" w:rsidR="001F77DD" w:rsidRDefault="00D97F9C">
            <w:pPr>
              <w:spacing w:before="60" w:after="60" w:line="240" w:lineRule="auto"/>
              <w:rPr>
                <w:rFonts w:ascii="Arial" w:hAnsi="Arial" w:cs="Arial"/>
                <w:sz w:val="20"/>
                <w:szCs w:val="20"/>
              </w:rPr>
            </w:pPr>
            <w:r>
              <w:rPr>
                <w:rFonts w:ascii="Arial" w:hAnsi="Arial" w:cs="Arial"/>
                <w:sz w:val="20"/>
                <w:szCs w:val="20"/>
              </w:rPr>
              <w:t>Cyber sigurnost i vlasnici sistema.</w:t>
            </w:r>
          </w:p>
        </w:tc>
        <w:tc>
          <w:tcPr>
            <w:tcW w:w="136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AFF34E5" w14:textId="77777777" w:rsidR="001F77DD" w:rsidRDefault="00D97F9C">
            <w:pPr>
              <w:spacing w:before="60" w:after="60" w:line="240" w:lineRule="auto"/>
              <w:rPr>
                <w:rFonts w:ascii="Arial" w:hAnsi="Arial" w:cs="Arial"/>
                <w:sz w:val="20"/>
                <w:szCs w:val="20"/>
              </w:rPr>
            </w:pPr>
            <w:r>
              <w:rPr>
                <w:rFonts w:ascii="Arial" w:hAnsi="Arial" w:cs="Arial"/>
                <w:sz w:val="20"/>
                <w:szCs w:val="20"/>
              </w:rPr>
              <w:t>Sedmično; mjesečni izvještaj.</w:t>
            </w:r>
          </w:p>
        </w:tc>
      </w:tr>
      <w:tr w:rsidR="001F77DD" w14:paraId="315E9AE4"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33EED0BA" w14:textId="77777777" w:rsidR="001F77DD" w:rsidRDefault="00D97F9C">
            <w:pPr>
              <w:spacing w:before="60" w:after="60" w:line="240" w:lineRule="auto"/>
              <w:rPr>
                <w:rFonts w:ascii="Arial" w:hAnsi="Arial" w:cs="Arial"/>
                <w:sz w:val="20"/>
                <w:szCs w:val="20"/>
              </w:rPr>
            </w:pPr>
            <w:r>
              <w:rPr>
                <w:rFonts w:ascii="Arial" w:hAnsi="Arial" w:cs="Arial"/>
                <w:sz w:val="20"/>
                <w:szCs w:val="20"/>
              </w:rPr>
              <w:t>K21 Vrijeme otklanjanja kritičnih ranjivosti</w:t>
            </w:r>
          </w:p>
        </w:tc>
        <w:tc>
          <w:tcPr>
            <w:tcW w:w="3384"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6BCA2E5C" w14:textId="77777777" w:rsidR="001F77DD" w:rsidRDefault="00D97F9C">
            <w:pPr>
              <w:spacing w:before="60" w:after="60" w:line="240" w:lineRule="auto"/>
              <w:rPr>
                <w:rFonts w:ascii="Arial" w:hAnsi="Arial" w:cs="Arial"/>
                <w:sz w:val="20"/>
                <w:szCs w:val="20"/>
              </w:rPr>
            </w:pPr>
            <w:r>
              <w:rPr>
                <w:rFonts w:ascii="Arial" w:hAnsi="Arial" w:cs="Arial"/>
                <w:sz w:val="20"/>
                <w:szCs w:val="20"/>
              </w:rPr>
              <w:t>Medijana i P95 od potvrde ranjivosti do provjerene sanacije; privremeno ublažavanje voditi odvojeno.</w:t>
            </w:r>
          </w:p>
        </w:tc>
        <w:tc>
          <w:tcPr>
            <w:tcW w:w="144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46616181"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20E662DD" w14:textId="77777777" w:rsidR="001F77DD" w:rsidRDefault="00D97F9C">
            <w:pPr>
              <w:spacing w:before="60" w:after="60" w:line="240" w:lineRule="auto"/>
              <w:rPr>
                <w:rFonts w:ascii="Arial" w:hAnsi="Arial" w:cs="Arial"/>
                <w:sz w:val="20"/>
                <w:szCs w:val="20"/>
              </w:rPr>
            </w:pPr>
            <w:r>
              <w:rPr>
                <w:rFonts w:ascii="Arial" w:hAnsi="Arial" w:cs="Arial"/>
                <w:sz w:val="20"/>
                <w:szCs w:val="20"/>
              </w:rPr>
              <w:t>≥95% sanirano u 15 kalendarskih dana; hitno ublažavanje aktivno iskorištavanih ranjivosti u 24 sata.</w:t>
            </w:r>
          </w:p>
        </w:tc>
        <w:tc>
          <w:tcPr>
            <w:tcW w:w="180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416B7953" w14:textId="77777777" w:rsidR="001F77DD" w:rsidRDefault="00D97F9C">
            <w:pPr>
              <w:spacing w:before="60" w:after="60" w:line="240" w:lineRule="auto"/>
              <w:rPr>
                <w:rFonts w:ascii="Arial" w:hAnsi="Arial" w:cs="Arial"/>
                <w:sz w:val="20"/>
                <w:szCs w:val="20"/>
              </w:rPr>
            </w:pPr>
            <w:r>
              <w:rPr>
                <w:rFonts w:ascii="Arial" w:hAnsi="Arial" w:cs="Arial"/>
                <w:sz w:val="20"/>
                <w:szCs w:val="20"/>
              </w:rPr>
              <w:t>Registar ranjivosti; servisni nalozi; ponovni test.</w:t>
            </w:r>
          </w:p>
        </w:tc>
        <w:tc>
          <w:tcPr>
            <w:tcW w:w="172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531A321A" w14:textId="77777777" w:rsidR="001F77DD" w:rsidRDefault="00D97F9C">
            <w:pPr>
              <w:spacing w:before="60" w:after="60" w:line="240" w:lineRule="auto"/>
              <w:rPr>
                <w:rFonts w:ascii="Arial" w:hAnsi="Arial" w:cs="Arial"/>
                <w:sz w:val="20"/>
                <w:szCs w:val="20"/>
              </w:rPr>
            </w:pPr>
            <w:r>
              <w:rPr>
                <w:rFonts w:ascii="Arial" w:hAnsi="Arial" w:cs="Arial"/>
                <w:sz w:val="20"/>
                <w:szCs w:val="20"/>
              </w:rPr>
              <w:t>Vlasnik sistema uz cyber sigurnost.</w:t>
            </w:r>
          </w:p>
        </w:tc>
        <w:tc>
          <w:tcPr>
            <w:tcW w:w="136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2F00FE31" w14:textId="77777777" w:rsidR="001F77DD" w:rsidRDefault="00D97F9C">
            <w:pPr>
              <w:spacing w:before="60" w:after="60" w:line="240" w:lineRule="auto"/>
              <w:rPr>
                <w:rFonts w:ascii="Arial" w:hAnsi="Arial" w:cs="Arial"/>
                <w:sz w:val="20"/>
                <w:szCs w:val="20"/>
              </w:rPr>
            </w:pPr>
            <w:r>
              <w:rPr>
                <w:rFonts w:ascii="Arial" w:hAnsi="Arial" w:cs="Arial"/>
                <w:sz w:val="20"/>
                <w:szCs w:val="20"/>
              </w:rPr>
              <w:t>Po ranjivosti; mjesečno.</w:t>
            </w:r>
          </w:p>
        </w:tc>
      </w:tr>
      <w:tr w:rsidR="001F77DD" w14:paraId="1568E8CF"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2FB03B0" w14:textId="77777777" w:rsidR="001F77DD" w:rsidRDefault="00D97F9C">
            <w:pPr>
              <w:spacing w:before="60" w:after="60" w:line="240" w:lineRule="auto"/>
              <w:rPr>
                <w:rFonts w:ascii="Arial" w:hAnsi="Arial" w:cs="Arial"/>
                <w:sz w:val="20"/>
                <w:szCs w:val="20"/>
              </w:rPr>
            </w:pPr>
            <w:r>
              <w:rPr>
                <w:rFonts w:ascii="Arial" w:hAnsi="Arial" w:cs="Arial"/>
                <w:sz w:val="20"/>
                <w:szCs w:val="20"/>
              </w:rPr>
              <w:t>K22 Usklađenost sa RTO i RPO</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2C93A99" w14:textId="77777777" w:rsidR="001F77DD" w:rsidRDefault="00D97F9C">
            <w:pPr>
              <w:spacing w:before="60" w:after="60" w:line="240" w:lineRule="auto"/>
              <w:rPr>
                <w:rFonts w:ascii="Arial" w:hAnsi="Arial" w:cs="Arial"/>
                <w:sz w:val="20"/>
                <w:szCs w:val="20"/>
              </w:rPr>
            </w:pPr>
            <w:r>
              <w:rPr>
                <w:rFonts w:ascii="Arial" w:hAnsi="Arial" w:cs="Arial"/>
                <w:sz w:val="20"/>
                <w:szCs w:val="20"/>
              </w:rPr>
              <w:t>RTO: odobreno najveće vrijeme obnove usluge. RPO: odobren najveći vremenski gubitak podataka. Mjeriti stvarno trajanje obnove i starost obnovljene tačke.</w:t>
            </w:r>
          </w:p>
        </w:tc>
        <w:tc>
          <w:tcPr>
            <w:tcW w:w="14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CD9DA3F"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C96747D" w14:textId="77777777" w:rsidR="001F77DD" w:rsidRDefault="00D97F9C">
            <w:pPr>
              <w:spacing w:before="60" w:after="60" w:line="240" w:lineRule="auto"/>
              <w:rPr>
                <w:rFonts w:ascii="Arial" w:hAnsi="Arial" w:cs="Arial"/>
                <w:sz w:val="20"/>
                <w:szCs w:val="20"/>
              </w:rPr>
            </w:pPr>
            <w:r>
              <w:rPr>
                <w:rFonts w:ascii="Arial" w:hAnsi="Arial" w:cs="Arial"/>
                <w:sz w:val="20"/>
                <w:szCs w:val="20"/>
              </w:rPr>
              <w:t>Do kraja 2027. ciljevi odobreni za sve kritične sisteme; 100% testova ispunjava oba praga do 2031.</w:t>
            </w:r>
          </w:p>
        </w:tc>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2FF8B79" w14:textId="77777777" w:rsidR="001F77DD" w:rsidRDefault="00D97F9C">
            <w:pPr>
              <w:spacing w:before="60" w:after="60" w:line="240" w:lineRule="auto"/>
              <w:rPr>
                <w:rFonts w:ascii="Arial" w:hAnsi="Arial" w:cs="Arial"/>
                <w:sz w:val="20"/>
                <w:szCs w:val="20"/>
              </w:rPr>
            </w:pPr>
            <w:r>
              <w:rPr>
                <w:rFonts w:ascii="Arial" w:hAnsi="Arial" w:cs="Arial"/>
                <w:sz w:val="20"/>
                <w:szCs w:val="20"/>
              </w:rPr>
              <w:t>BIA; planovi kontinuiteta; DR zapisnici; backup logovi.</w:t>
            </w:r>
          </w:p>
        </w:tc>
        <w:tc>
          <w:tcPr>
            <w:tcW w:w="172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0964CF1" w14:textId="77777777" w:rsidR="001F77DD" w:rsidRDefault="00D97F9C">
            <w:pPr>
              <w:spacing w:before="60" w:after="60" w:line="240" w:lineRule="auto"/>
              <w:rPr>
                <w:rFonts w:ascii="Arial" w:hAnsi="Arial" w:cs="Arial"/>
                <w:sz w:val="20"/>
                <w:szCs w:val="20"/>
              </w:rPr>
            </w:pPr>
            <w:r>
              <w:rPr>
                <w:rFonts w:ascii="Arial" w:hAnsi="Arial" w:cs="Arial"/>
                <w:sz w:val="20"/>
                <w:szCs w:val="20"/>
              </w:rPr>
              <w:t>Vlasnici procesa i Tehnički sektor.</w:t>
            </w:r>
          </w:p>
        </w:tc>
        <w:tc>
          <w:tcPr>
            <w:tcW w:w="136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11284EE" w14:textId="77777777" w:rsidR="001F77DD" w:rsidRDefault="00D97F9C">
            <w:pPr>
              <w:spacing w:before="60" w:after="60" w:line="240" w:lineRule="auto"/>
              <w:rPr>
                <w:rFonts w:ascii="Arial" w:hAnsi="Arial" w:cs="Arial"/>
                <w:sz w:val="20"/>
                <w:szCs w:val="20"/>
              </w:rPr>
            </w:pPr>
            <w:r>
              <w:rPr>
                <w:rFonts w:ascii="Arial" w:hAnsi="Arial" w:cs="Arial"/>
                <w:sz w:val="20"/>
                <w:szCs w:val="20"/>
              </w:rPr>
              <w:t>Godišnje preispitivanje; svaki test i prekid.</w:t>
            </w:r>
          </w:p>
        </w:tc>
      </w:tr>
      <w:tr w:rsidR="001F77DD" w14:paraId="74B807B7"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7033BDC9" w14:textId="77777777" w:rsidR="001F77DD" w:rsidRDefault="00D97F9C">
            <w:pPr>
              <w:spacing w:before="60" w:after="60" w:line="240" w:lineRule="auto"/>
              <w:rPr>
                <w:rFonts w:ascii="Arial" w:hAnsi="Arial" w:cs="Arial"/>
                <w:sz w:val="20"/>
                <w:szCs w:val="20"/>
              </w:rPr>
            </w:pPr>
            <w:r>
              <w:rPr>
                <w:rFonts w:ascii="Arial" w:hAnsi="Arial" w:cs="Arial"/>
                <w:sz w:val="20"/>
                <w:szCs w:val="20"/>
              </w:rPr>
              <w:lastRenderedPageBreak/>
              <w:t>K23 Broj uspješnih DR testova</w:t>
            </w:r>
          </w:p>
        </w:tc>
        <w:tc>
          <w:tcPr>
            <w:tcW w:w="3384"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0C04C1EE" w14:textId="77777777" w:rsidR="001F77DD" w:rsidRDefault="00D97F9C">
            <w:pPr>
              <w:spacing w:before="60" w:after="60" w:line="240" w:lineRule="auto"/>
              <w:rPr>
                <w:rFonts w:ascii="Arial" w:hAnsi="Arial" w:cs="Arial"/>
                <w:sz w:val="20"/>
                <w:szCs w:val="20"/>
              </w:rPr>
            </w:pPr>
            <w:r>
              <w:rPr>
                <w:rFonts w:ascii="Arial" w:hAnsi="Arial" w:cs="Arial"/>
                <w:sz w:val="20"/>
                <w:szCs w:val="20"/>
              </w:rPr>
              <w:t>Broj scenarija oporavka koji su zadovoljili RTO, RPO, integritet i funkcionalnost / ukupan broj provedenih scenarija; prikazati oba broja.</w:t>
            </w:r>
          </w:p>
        </w:tc>
        <w:tc>
          <w:tcPr>
            <w:tcW w:w="144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2D908F52"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1DD6F7AF" w14:textId="77777777" w:rsidR="001F77DD" w:rsidRDefault="00D97F9C">
            <w:pPr>
              <w:spacing w:before="60" w:after="60" w:line="240" w:lineRule="auto"/>
              <w:rPr>
                <w:rFonts w:ascii="Arial" w:hAnsi="Arial" w:cs="Arial"/>
                <w:sz w:val="20"/>
                <w:szCs w:val="20"/>
              </w:rPr>
            </w:pPr>
            <w:r>
              <w:rPr>
                <w:rFonts w:ascii="Arial" w:hAnsi="Arial" w:cs="Arial"/>
                <w:sz w:val="20"/>
                <w:szCs w:val="20"/>
              </w:rPr>
              <w:t>100% uspješnosti; svaki kritični sistem obuhvaćen najmanje jednim DR testom godišnje.</w:t>
            </w:r>
          </w:p>
        </w:tc>
        <w:tc>
          <w:tcPr>
            <w:tcW w:w="180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5AE8C592" w14:textId="77777777" w:rsidR="001F77DD" w:rsidRDefault="00D97F9C">
            <w:pPr>
              <w:spacing w:before="60" w:after="60" w:line="240" w:lineRule="auto"/>
              <w:rPr>
                <w:rFonts w:ascii="Arial" w:hAnsi="Arial" w:cs="Arial"/>
                <w:sz w:val="20"/>
                <w:szCs w:val="20"/>
              </w:rPr>
            </w:pPr>
            <w:r>
              <w:rPr>
                <w:rFonts w:ascii="Arial" w:hAnsi="Arial" w:cs="Arial"/>
                <w:sz w:val="20"/>
                <w:szCs w:val="20"/>
              </w:rPr>
              <w:t>Plan testova; zapisnici; dokazi funkcionalne provjere.</w:t>
            </w:r>
          </w:p>
        </w:tc>
        <w:tc>
          <w:tcPr>
            <w:tcW w:w="172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2EF05971" w14:textId="77777777" w:rsidR="001F77DD" w:rsidRDefault="00D97F9C">
            <w:pPr>
              <w:spacing w:before="60" w:after="60" w:line="240" w:lineRule="auto"/>
              <w:rPr>
                <w:rFonts w:ascii="Arial" w:hAnsi="Arial" w:cs="Arial"/>
                <w:sz w:val="20"/>
                <w:szCs w:val="20"/>
              </w:rPr>
            </w:pPr>
            <w:r>
              <w:rPr>
                <w:rFonts w:ascii="Arial" w:hAnsi="Arial" w:cs="Arial"/>
                <w:sz w:val="20"/>
                <w:szCs w:val="20"/>
              </w:rPr>
              <w:t>Koordinator kontinuiteta i vlasnici sistema.</w:t>
            </w:r>
          </w:p>
        </w:tc>
        <w:tc>
          <w:tcPr>
            <w:tcW w:w="136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55A41100" w14:textId="77777777" w:rsidR="001F77DD" w:rsidRDefault="00D97F9C">
            <w:pPr>
              <w:spacing w:before="60" w:after="60" w:line="240" w:lineRule="auto"/>
              <w:rPr>
                <w:rFonts w:ascii="Arial" w:hAnsi="Arial" w:cs="Arial"/>
                <w:sz w:val="20"/>
                <w:szCs w:val="20"/>
              </w:rPr>
            </w:pPr>
            <w:r>
              <w:rPr>
                <w:rFonts w:ascii="Arial" w:hAnsi="Arial" w:cs="Arial"/>
                <w:sz w:val="20"/>
                <w:szCs w:val="20"/>
              </w:rPr>
              <w:t>Najmanje godišnje; nakon bitnih promjena.</w:t>
            </w:r>
          </w:p>
        </w:tc>
      </w:tr>
      <w:tr w:rsidR="001F77DD" w14:paraId="530CF25D"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78E33B1" w14:textId="77777777" w:rsidR="001F77DD" w:rsidRDefault="00D97F9C">
            <w:pPr>
              <w:spacing w:before="60" w:after="60" w:line="240" w:lineRule="auto"/>
              <w:rPr>
                <w:rFonts w:ascii="Arial" w:hAnsi="Arial" w:cs="Arial"/>
                <w:sz w:val="20"/>
                <w:szCs w:val="20"/>
              </w:rPr>
            </w:pPr>
            <w:r>
              <w:rPr>
                <w:rFonts w:ascii="Arial" w:hAnsi="Arial" w:cs="Arial"/>
                <w:sz w:val="20"/>
                <w:szCs w:val="20"/>
              </w:rPr>
              <w:t>K24 Provjera zaštite podataka prije produkcije</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5620E2D" w14:textId="77777777" w:rsidR="001F77DD" w:rsidRDefault="00D97F9C">
            <w:pPr>
              <w:spacing w:before="60" w:after="60" w:line="240" w:lineRule="auto"/>
              <w:rPr>
                <w:rFonts w:ascii="Arial" w:hAnsi="Arial" w:cs="Arial"/>
                <w:sz w:val="20"/>
                <w:szCs w:val="20"/>
              </w:rPr>
            </w:pPr>
            <w:r>
              <w:rPr>
                <w:rFonts w:ascii="Arial" w:hAnsi="Arial" w:cs="Arial"/>
                <w:sz w:val="20"/>
                <w:szCs w:val="20"/>
              </w:rPr>
              <w:t>Broj novih ili bitno izmijenjenih funkcionalnosti sa dokumentovanom provjerom pravnog osnova, svrhe, pristupa i potrebne procjene uticaja / sve takve funkcionalnosti × 100.</w:t>
            </w:r>
          </w:p>
        </w:tc>
        <w:tc>
          <w:tcPr>
            <w:tcW w:w="14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DC6BE5F"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C821D2D" w14:textId="77777777" w:rsidR="001F77DD" w:rsidRDefault="00D97F9C">
            <w:pPr>
              <w:spacing w:before="60" w:after="60" w:line="240" w:lineRule="auto"/>
              <w:rPr>
                <w:rFonts w:ascii="Arial" w:hAnsi="Arial" w:cs="Arial"/>
                <w:sz w:val="20"/>
                <w:szCs w:val="20"/>
              </w:rPr>
            </w:pPr>
            <w:r>
              <w:rPr>
                <w:rFonts w:ascii="Arial" w:hAnsi="Arial" w:cs="Arial"/>
                <w:sz w:val="20"/>
                <w:szCs w:val="20"/>
              </w:rPr>
              <w:t>100% prije produkcione primjene.</w:t>
            </w:r>
          </w:p>
        </w:tc>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6A618F1" w14:textId="77777777" w:rsidR="001F77DD" w:rsidRDefault="00D97F9C">
            <w:pPr>
              <w:spacing w:before="60" w:after="60" w:line="240" w:lineRule="auto"/>
              <w:rPr>
                <w:rFonts w:ascii="Arial" w:hAnsi="Arial" w:cs="Arial"/>
                <w:sz w:val="20"/>
                <w:szCs w:val="20"/>
              </w:rPr>
            </w:pPr>
            <w:r>
              <w:rPr>
                <w:rFonts w:ascii="Arial" w:hAnsi="Arial" w:cs="Arial"/>
                <w:sz w:val="20"/>
                <w:szCs w:val="20"/>
              </w:rPr>
              <w:t>Evidencije obrada; procjene uticaja; odobrenja izmjena.</w:t>
            </w:r>
          </w:p>
        </w:tc>
        <w:tc>
          <w:tcPr>
            <w:tcW w:w="172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D17CE57" w14:textId="77777777" w:rsidR="001F77DD" w:rsidRDefault="00D97F9C">
            <w:pPr>
              <w:spacing w:before="60" w:after="60" w:line="240" w:lineRule="auto"/>
              <w:rPr>
                <w:rFonts w:ascii="Arial" w:hAnsi="Arial" w:cs="Arial"/>
                <w:sz w:val="20"/>
                <w:szCs w:val="20"/>
              </w:rPr>
            </w:pPr>
            <w:r>
              <w:rPr>
                <w:rFonts w:ascii="Arial" w:hAnsi="Arial" w:cs="Arial"/>
                <w:sz w:val="20"/>
                <w:szCs w:val="20"/>
              </w:rPr>
              <w:t>Funkcija zaštite ličnih podataka i vlasnik servisa.</w:t>
            </w:r>
          </w:p>
        </w:tc>
        <w:tc>
          <w:tcPr>
            <w:tcW w:w="136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5538B96" w14:textId="77777777" w:rsidR="001F77DD" w:rsidRDefault="00D97F9C">
            <w:pPr>
              <w:spacing w:before="60" w:after="60" w:line="240" w:lineRule="auto"/>
              <w:rPr>
                <w:rFonts w:ascii="Arial" w:hAnsi="Arial" w:cs="Arial"/>
                <w:sz w:val="20"/>
                <w:szCs w:val="20"/>
              </w:rPr>
            </w:pPr>
            <w:r>
              <w:rPr>
                <w:rFonts w:ascii="Arial" w:hAnsi="Arial" w:cs="Arial"/>
                <w:sz w:val="20"/>
                <w:szCs w:val="20"/>
              </w:rPr>
              <w:t>Pri svakoj izmjeni; kvartalni zbir.</w:t>
            </w:r>
          </w:p>
        </w:tc>
      </w:tr>
    </w:tbl>
    <w:p w14:paraId="2A332C4C" w14:textId="77777777" w:rsidR="001F77DD" w:rsidRDefault="00D97F9C">
      <w:pPr>
        <w:rPr>
          <w:rFonts w:ascii="Arial" w:hAnsi="Arial" w:cs="Arial"/>
          <w:sz w:val="20"/>
          <w:szCs w:val="20"/>
        </w:rPr>
      </w:pPr>
      <w:r>
        <w:rPr>
          <w:rFonts w:ascii="Arial" w:hAnsi="Arial" w:cs="Arial"/>
          <w:sz w:val="20"/>
          <w:szCs w:val="20"/>
        </w:rPr>
        <w:br w:type="page" w:clear="all"/>
      </w:r>
    </w:p>
    <w:p w14:paraId="08372EBD" w14:textId="77777777" w:rsidR="001F77DD" w:rsidRDefault="00D97F9C">
      <w:pPr>
        <w:pStyle w:val="Heading1"/>
        <w:rPr>
          <w:sz w:val="20"/>
          <w:szCs w:val="20"/>
        </w:rPr>
      </w:pPr>
      <w:r>
        <w:rPr>
          <w:sz w:val="20"/>
          <w:szCs w:val="20"/>
        </w:rPr>
        <w:lastRenderedPageBreak/>
        <w:t>SC6 i SC7 Razvojni projekti i institucionalni kapaciteti</w:t>
      </w:r>
    </w:p>
    <w:tbl>
      <w:tblPr>
        <w:tblW w:w="0" w:type="auto"/>
        <w:jc w:val="center"/>
        <w:tblLayout w:type="fixed"/>
        <w:tblLook w:val="04A0" w:firstRow="1" w:lastRow="0" w:firstColumn="1" w:lastColumn="0" w:noHBand="0" w:noVBand="1"/>
      </w:tblPr>
      <w:tblGrid>
        <w:gridCol w:w="1872"/>
        <w:gridCol w:w="3384"/>
        <w:gridCol w:w="1440"/>
        <w:gridCol w:w="2952"/>
        <w:gridCol w:w="1800"/>
        <w:gridCol w:w="1728"/>
        <w:gridCol w:w="1368"/>
      </w:tblGrid>
      <w:tr w:rsidR="001F77DD" w14:paraId="32BAAF6E" w14:textId="77777777">
        <w:trPr>
          <w:cantSplit/>
          <w:tblHeader/>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4808B4F1" w14:textId="77777777" w:rsidR="001F77DD" w:rsidRDefault="00D97F9C">
            <w:pPr>
              <w:spacing w:before="60" w:after="60" w:line="240" w:lineRule="auto"/>
              <w:rPr>
                <w:rFonts w:ascii="Arial" w:hAnsi="Arial" w:cs="Arial"/>
                <w:sz w:val="20"/>
                <w:szCs w:val="20"/>
              </w:rPr>
            </w:pPr>
            <w:r>
              <w:rPr>
                <w:rFonts w:ascii="Arial" w:hAnsi="Arial" w:cs="Arial"/>
                <w:b/>
                <w:sz w:val="20"/>
                <w:szCs w:val="20"/>
              </w:rPr>
              <w:t>Naziv indikatora</w:t>
            </w:r>
          </w:p>
        </w:tc>
        <w:tc>
          <w:tcPr>
            <w:tcW w:w="3384"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111268CE" w14:textId="77777777" w:rsidR="001F77DD" w:rsidRDefault="00D97F9C">
            <w:pPr>
              <w:spacing w:before="60" w:after="60" w:line="240" w:lineRule="auto"/>
              <w:rPr>
                <w:rFonts w:ascii="Arial" w:hAnsi="Arial" w:cs="Arial"/>
                <w:sz w:val="20"/>
                <w:szCs w:val="20"/>
              </w:rPr>
            </w:pPr>
            <w:r>
              <w:rPr>
                <w:rFonts w:ascii="Arial" w:hAnsi="Arial" w:cs="Arial"/>
                <w:b/>
                <w:sz w:val="20"/>
                <w:szCs w:val="20"/>
              </w:rPr>
              <w:t>Definicija i obračun</w:t>
            </w:r>
          </w:p>
        </w:tc>
        <w:tc>
          <w:tcPr>
            <w:tcW w:w="1440"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0A4B65DB" w14:textId="77777777" w:rsidR="001F77DD" w:rsidRDefault="00D97F9C">
            <w:pPr>
              <w:spacing w:before="60" w:after="60" w:line="240" w:lineRule="auto"/>
              <w:rPr>
                <w:rFonts w:ascii="Arial" w:hAnsi="Arial" w:cs="Arial"/>
                <w:sz w:val="20"/>
                <w:szCs w:val="20"/>
              </w:rPr>
            </w:pPr>
            <w:r>
              <w:rPr>
                <w:rFonts w:ascii="Arial" w:hAnsi="Arial" w:cs="Arial"/>
                <w:b/>
                <w:sz w:val="20"/>
                <w:szCs w:val="20"/>
              </w:rPr>
              <w:t>Baseline</w:t>
            </w:r>
          </w:p>
        </w:tc>
        <w:tc>
          <w:tcPr>
            <w:tcW w:w="2952"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098F2CD2" w14:textId="77777777" w:rsidR="001F77DD" w:rsidRDefault="00D97F9C">
            <w:pPr>
              <w:spacing w:before="60" w:after="60" w:line="240" w:lineRule="auto"/>
              <w:rPr>
                <w:rFonts w:ascii="Arial" w:hAnsi="Arial" w:cs="Arial"/>
                <w:sz w:val="20"/>
                <w:szCs w:val="20"/>
              </w:rPr>
            </w:pPr>
            <w:r>
              <w:rPr>
                <w:rFonts w:ascii="Arial" w:hAnsi="Arial" w:cs="Arial"/>
                <w:b/>
                <w:sz w:val="20"/>
                <w:szCs w:val="20"/>
              </w:rPr>
              <w:t>Cilj</w:t>
            </w:r>
          </w:p>
        </w:tc>
        <w:tc>
          <w:tcPr>
            <w:tcW w:w="1800"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54B738D9" w14:textId="77777777" w:rsidR="001F77DD" w:rsidRDefault="00D97F9C">
            <w:pPr>
              <w:spacing w:before="60" w:after="60" w:line="240" w:lineRule="auto"/>
              <w:rPr>
                <w:rFonts w:ascii="Arial" w:hAnsi="Arial" w:cs="Arial"/>
                <w:sz w:val="20"/>
                <w:szCs w:val="20"/>
              </w:rPr>
            </w:pPr>
            <w:r>
              <w:rPr>
                <w:rFonts w:ascii="Arial" w:hAnsi="Arial" w:cs="Arial"/>
                <w:b/>
                <w:sz w:val="20"/>
                <w:szCs w:val="20"/>
              </w:rPr>
              <w:t>Izvor podataka</w:t>
            </w:r>
          </w:p>
        </w:tc>
        <w:tc>
          <w:tcPr>
            <w:tcW w:w="1728"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47F0C8D6" w14:textId="77777777" w:rsidR="001F77DD" w:rsidRDefault="00D97F9C">
            <w:pPr>
              <w:spacing w:before="60" w:after="60" w:line="240" w:lineRule="auto"/>
              <w:rPr>
                <w:rFonts w:ascii="Arial" w:hAnsi="Arial" w:cs="Arial"/>
                <w:sz w:val="20"/>
                <w:szCs w:val="20"/>
              </w:rPr>
            </w:pPr>
            <w:r>
              <w:rPr>
                <w:rFonts w:ascii="Arial" w:hAnsi="Arial" w:cs="Arial"/>
                <w:b/>
                <w:sz w:val="20"/>
                <w:szCs w:val="20"/>
              </w:rPr>
              <w:t>Vlasnik</w:t>
            </w:r>
          </w:p>
        </w:tc>
        <w:tc>
          <w:tcPr>
            <w:tcW w:w="1368" w:type="dxa"/>
            <w:tcBorders>
              <w:top w:val="single" w:sz="4" w:space="0" w:color="D9D9D9"/>
              <w:left w:val="single" w:sz="4" w:space="0" w:color="D9D9D9"/>
              <w:bottom w:val="single" w:sz="4" w:space="0" w:color="D9D9D9"/>
              <w:right w:val="single" w:sz="4" w:space="0" w:color="D9D9D9"/>
            </w:tcBorders>
            <w:shd w:val="clear" w:color="auto" w:fill="DDE6EF"/>
            <w:vAlign w:val="center"/>
          </w:tcPr>
          <w:p w14:paraId="7B5590A8" w14:textId="77777777" w:rsidR="001F77DD" w:rsidRDefault="00D97F9C">
            <w:pPr>
              <w:spacing w:before="60" w:after="60" w:line="240" w:lineRule="auto"/>
              <w:rPr>
                <w:rFonts w:ascii="Arial" w:hAnsi="Arial" w:cs="Arial"/>
                <w:sz w:val="20"/>
                <w:szCs w:val="20"/>
              </w:rPr>
            </w:pPr>
            <w:r>
              <w:rPr>
                <w:rFonts w:ascii="Arial" w:hAnsi="Arial" w:cs="Arial"/>
                <w:b/>
                <w:sz w:val="20"/>
                <w:szCs w:val="20"/>
              </w:rPr>
              <w:t>Učestalost</w:t>
            </w:r>
          </w:p>
        </w:tc>
      </w:tr>
      <w:tr w:rsidR="001F77DD" w14:paraId="3EE8DA0A"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126B4C34" w14:textId="77777777" w:rsidR="001F77DD" w:rsidRDefault="00D97F9C">
            <w:pPr>
              <w:spacing w:before="60" w:after="60" w:line="240" w:lineRule="auto"/>
              <w:rPr>
                <w:rFonts w:ascii="Arial" w:hAnsi="Arial" w:cs="Arial"/>
                <w:sz w:val="20"/>
                <w:szCs w:val="20"/>
              </w:rPr>
            </w:pPr>
            <w:r>
              <w:rPr>
                <w:rFonts w:ascii="Arial" w:hAnsi="Arial" w:cs="Arial"/>
                <w:sz w:val="20"/>
                <w:szCs w:val="20"/>
              </w:rPr>
              <w:t>K25 Udio automatizovanih procesa</w:t>
            </w:r>
          </w:p>
        </w:tc>
        <w:tc>
          <w:tcPr>
            <w:tcW w:w="3384"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39572D79" w14:textId="77777777" w:rsidR="001F77DD" w:rsidRDefault="00D97F9C">
            <w:pPr>
              <w:spacing w:before="60" w:after="60" w:line="240" w:lineRule="auto"/>
              <w:rPr>
                <w:rFonts w:ascii="Arial" w:hAnsi="Arial" w:cs="Arial"/>
                <w:sz w:val="20"/>
                <w:szCs w:val="20"/>
              </w:rPr>
            </w:pPr>
            <w:r>
              <w:rPr>
                <w:rFonts w:ascii="Arial" w:hAnsi="Arial" w:cs="Arial"/>
                <w:sz w:val="20"/>
                <w:szCs w:val="20"/>
              </w:rPr>
              <w:t>Broj procesa iz unaprijed odobrenog registra pogodnih za automatizaciju koji se završavaju bez ručnog prepisivanja podataka / ukupan broj tih procesa × 100.</w:t>
            </w:r>
          </w:p>
        </w:tc>
        <w:tc>
          <w:tcPr>
            <w:tcW w:w="144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607858D7"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03F520CD" w14:textId="77777777" w:rsidR="001F77DD" w:rsidRDefault="00D97F9C">
            <w:pPr>
              <w:spacing w:before="60" w:after="60" w:line="240" w:lineRule="auto"/>
              <w:rPr>
                <w:rFonts w:ascii="Arial" w:hAnsi="Arial" w:cs="Arial"/>
                <w:sz w:val="20"/>
                <w:szCs w:val="20"/>
              </w:rPr>
            </w:pPr>
            <w:r>
              <w:rPr>
                <w:rFonts w:ascii="Arial" w:hAnsi="Arial" w:cs="Arial"/>
                <w:sz w:val="20"/>
                <w:szCs w:val="20"/>
              </w:rPr>
              <w:t>≥80% do 2031, uz zadržavanje obaveznih ljudskih kontrola.</w:t>
            </w:r>
          </w:p>
        </w:tc>
        <w:tc>
          <w:tcPr>
            <w:tcW w:w="180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6DF81324" w14:textId="77777777" w:rsidR="001F77DD" w:rsidRDefault="00D97F9C">
            <w:pPr>
              <w:spacing w:before="60" w:after="60" w:line="240" w:lineRule="auto"/>
              <w:rPr>
                <w:rFonts w:ascii="Arial" w:hAnsi="Arial" w:cs="Arial"/>
                <w:sz w:val="20"/>
                <w:szCs w:val="20"/>
              </w:rPr>
            </w:pPr>
            <w:r>
              <w:rPr>
                <w:rFonts w:ascii="Arial" w:hAnsi="Arial" w:cs="Arial"/>
                <w:sz w:val="20"/>
                <w:szCs w:val="20"/>
              </w:rPr>
              <w:t>Registar procesa; workflow logovi; zapisnici prihvata.</w:t>
            </w:r>
          </w:p>
        </w:tc>
        <w:tc>
          <w:tcPr>
            <w:tcW w:w="172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61032E88" w14:textId="77777777" w:rsidR="001F77DD" w:rsidRDefault="00D97F9C">
            <w:pPr>
              <w:spacing w:before="60" w:after="60" w:line="240" w:lineRule="auto"/>
              <w:rPr>
                <w:rFonts w:ascii="Arial" w:hAnsi="Arial" w:cs="Arial"/>
                <w:sz w:val="20"/>
                <w:szCs w:val="20"/>
              </w:rPr>
            </w:pPr>
            <w:r>
              <w:rPr>
                <w:rFonts w:ascii="Arial" w:hAnsi="Arial" w:cs="Arial"/>
                <w:sz w:val="20"/>
                <w:szCs w:val="20"/>
              </w:rPr>
              <w:t>Vlasnici procesa uz Tehnički sektor.</w:t>
            </w:r>
          </w:p>
        </w:tc>
        <w:tc>
          <w:tcPr>
            <w:tcW w:w="136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521D0B52" w14:textId="77777777" w:rsidR="001F77DD" w:rsidRDefault="00D97F9C">
            <w:pPr>
              <w:spacing w:before="60" w:after="60" w:line="240" w:lineRule="auto"/>
              <w:rPr>
                <w:rFonts w:ascii="Arial" w:hAnsi="Arial" w:cs="Arial"/>
                <w:sz w:val="20"/>
                <w:szCs w:val="20"/>
              </w:rPr>
            </w:pPr>
            <w:r>
              <w:rPr>
                <w:rFonts w:ascii="Arial" w:hAnsi="Arial" w:cs="Arial"/>
                <w:sz w:val="20"/>
                <w:szCs w:val="20"/>
              </w:rPr>
              <w:t>Polugodišnje.</w:t>
            </w:r>
          </w:p>
        </w:tc>
      </w:tr>
      <w:tr w:rsidR="001F77DD" w14:paraId="06018BA0"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D626C4A" w14:textId="77777777" w:rsidR="001F77DD" w:rsidRDefault="00D97F9C">
            <w:pPr>
              <w:spacing w:before="60" w:after="60" w:line="240" w:lineRule="auto"/>
              <w:rPr>
                <w:rFonts w:ascii="Arial" w:hAnsi="Arial" w:cs="Arial"/>
                <w:sz w:val="20"/>
                <w:szCs w:val="20"/>
              </w:rPr>
            </w:pPr>
            <w:r>
              <w:rPr>
                <w:rFonts w:ascii="Arial" w:hAnsi="Arial" w:cs="Arial"/>
                <w:sz w:val="20"/>
                <w:szCs w:val="20"/>
              </w:rPr>
              <w:t>K26 Pravovremeno ažuriranje otvorenih podataka</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3E13064" w14:textId="77777777" w:rsidR="001F77DD" w:rsidRDefault="00D97F9C">
            <w:pPr>
              <w:spacing w:before="60" w:after="60" w:line="240" w:lineRule="auto"/>
              <w:rPr>
                <w:rFonts w:ascii="Arial" w:hAnsi="Arial" w:cs="Arial"/>
                <w:sz w:val="20"/>
                <w:szCs w:val="20"/>
              </w:rPr>
            </w:pPr>
            <w:r>
              <w:rPr>
                <w:rFonts w:ascii="Arial" w:hAnsi="Arial" w:cs="Arial"/>
                <w:sz w:val="20"/>
                <w:szCs w:val="20"/>
              </w:rPr>
              <w:t>Broj skupova ažuriranih u propisanom roku / broj skupova čije ažuriranje dospijeva u periodu × 100.</w:t>
            </w:r>
          </w:p>
        </w:tc>
        <w:tc>
          <w:tcPr>
            <w:tcW w:w="14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10A608C"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62683C6" w14:textId="77777777" w:rsidR="001F77DD" w:rsidRDefault="00D97F9C">
            <w:pPr>
              <w:spacing w:before="60" w:after="60" w:line="240" w:lineRule="auto"/>
              <w:rPr>
                <w:rFonts w:ascii="Arial" w:hAnsi="Arial" w:cs="Arial"/>
                <w:sz w:val="20"/>
                <w:szCs w:val="20"/>
              </w:rPr>
            </w:pPr>
            <w:r>
              <w:rPr>
                <w:rFonts w:ascii="Arial" w:hAnsi="Arial" w:cs="Arial"/>
                <w:sz w:val="20"/>
                <w:szCs w:val="20"/>
              </w:rPr>
              <w:t>≥95% ažurirano u roku; 100% objava prethodno pravno i sigurnosno provjereno.</w:t>
            </w:r>
          </w:p>
        </w:tc>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0E99FD27" w14:textId="77777777" w:rsidR="001F77DD" w:rsidRDefault="00D97F9C">
            <w:pPr>
              <w:spacing w:before="60" w:after="60" w:line="240" w:lineRule="auto"/>
              <w:rPr>
                <w:rFonts w:ascii="Arial" w:hAnsi="Arial" w:cs="Arial"/>
                <w:sz w:val="20"/>
                <w:szCs w:val="20"/>
              </w:rPr>
            </w:pPr>
            <w:r>
              <w:rPr>
                <w:rFonts w:ascii="Arial" w:hAnsi="Arial" w:cs="Arial"/>
                <w:sz w:val="20"/>
                <w:szCs w:val="20"/>
              </w:rPr>
              <w:t>Portal; raspored ažuriranja; evidencije provjera objave.</w:t>
            </w:r>
          </w:p>
        </w:tc>
        <w:tc>
          <w:tcPr>
            <w:tcW w:w="172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4918550" w14:textId="77777777" w:rsidR="001F77DD" w:rsidRDefault="00D97F9C">
            <w:pPr>
              <w:spacing w:before="60" w:after="60" w:line="240" w:lineRule="auto"/>
              <w:rPr>
                <w:rFonts w:ascii="Arial" w:hAnsi="Arial" w:cs="Arial"/>
                <w:sz w:val="20"/>
                <w:szCs w:val="20"/>
              </w:rPr>
            </w:pPr>
            <w:r>
              <w:rPr>
                <w:rFonts w:ascii="Arial" w:hAnsi="Arial" w:cs="Arial"/>
                <w:sz w:val="20"/>
                <w:szCs w:val="20"/>
              </w:rPr>
              <w:t>Vlasnik portala i vlasnici skupova podataka.</w:t>
            </w:r>
          </w:p>
        </w:tc>
        <w:tc>
          <w:tcPr>
            <w:tcW w:w="136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DB414DA" w14:textId="77777777" w:rsidR="001F77DD" w:rsidRDefault="00D97F9C">
            <w:pPr>
              <w:spacing w:before="60" w:after="60" w:line="240" w:lineRule="auto"/>
              <w:rPr>
                <w:rFonts w:ascii="Arial" w:hAnsi="Arial" w:cs="Arial"/>
                <w:sz w:val="20"/>
                <w:szCs w:val="20"/>
              </w:rPr>
            </w:pPr>
            <w:r>
              <w:rPr>
                <w:rFonts w:ascii="Arial" w:hAnsi="Arial" w:cs="Arial"/>
                <w:sz w:val="20"/>
                <w:szCs w:val="20"/>
              </w:rPr>
              <w:t>Mjesečno.</w:t>
            </w:r>
          </w:p>
        </w:tc>
      </w:tr>
      <w:tr w:rsidR="001F77DD" w14:paraId="04563260"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6CA87982" w14:textId="77777777" w:rsidR="001F77DD" w:rsidRDefault="00D97F9C">
            <w:pPr>
              <w:spacing w:before="60" w:after="60" w:line="240" w:lineRule="auto"/>
              <w:rPr>
                <w:rFonts w:ascii="Arial" w:hAnsi="Arial" w:cs="Arial"/>
                <w:sz w:val="20"/>
                <w:szCs w:val="20"/>
              </w:rPr>
            </w:pPr>
            <w:r>
              <w:rPr>
                <w:rFonts w:ascii="Arial" w:hAnsi="Arial" w:cs="Arial"/>
                <w:sz w:val="20"/>
                <w:szCs w:val="20"/>
              </w:rPr>
              <w:t>K27 Obuhvat zaposlenih relevantnim obukama</w:t>
            </w:r>
          </w:p>
        </w:tc>
        <w:tc>
          <w:tcPr>
            <w:tcW w:w="3384"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164A6E09" w14:textId="77777777" w:rsidR="001F77DD" w:rsidRDefault="00D97F9C">
            <w:pPr>
              <w:spacing w:before="60" w:after="60" w:line="240" w:lineRule="auto"/>
              <w:rPr>
                <w:rFonts w:ascii="Arial" w:hAnsi="Arial" w:cs="Arial"/>
                <w:sz w:val="20"/>
                <w:szCs w:val="20"/>
              </w:rPr>
            </w:pPr>
            <w:r>
              <w:rPr>
                <w:rFonts w:ascii="Arial" w:hAnsi="Arial" w:cs="Arial"/>
                <w:sz w:val="20"/>
                <w:szCs w:val="20"/>
              </w:rPr>
              <w:t>Broj zaposlenih koji su završili obuku povezanu sa radnim mjestom i provjeru znanja / broj zaposlenih obuhvaćenih planom × 100.</w:t>
            </w:r>
          </w:p>
        </w:tc>
        <w:tc>
          <w:tcPr>
            <w:tcW w:w="144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406C01D9"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0A8FAC9D" w14:textId="77777777" w:rsidR="001F77DD" w:rsidRDefault="00D97F9C">
            <w:pPr>
              <w:spacing w:before="60" w:after="60" w:line="240" w:lineRule="auto"/>
              <w:rPr>
                <w:rFonts w:ascii="Arial" w:hAnsi="Arial" w:cs="Arial"/>
                <w:sz w:val="20"/>
                <w:szCs w:val="20"/>
              </w:rPr>
            </w:pPr>
            <w:r>
              <w:rPr>
                <w:rFonts w:ascii="Arial" w:hAnsi="Arial" w:cs="Arial"/>
                <w:sz w:val="20"/>
                <w:szCs w:val="20"/>
              </w:rPr>
              <w:t>≥90% godišnje; za kritične IT/PKI/cyber/DB/mrežne funkcije 100%.</w:t>
            </w:r>
          </w:p>
        </w:tc>
        <w:tc>
          <w:tcPr>
            <w:tcW w:w="1800"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44DDC127" w14:textId="77777777" w:rsidR="001F77DD" w:rsidRDefault="00D97F9C">
            <w:pPr>
              <w:spacing w:before="60" w:after="60" w:line="240" w:lineRule="auto"/>
              <w:rPr>
                <w:rFonts w:ascii="Arial" w:hAnsi="Arial" w:cs="Arial"/>
                <w:sz w:val="20"/>
                <w:szCs w:val="20"/>
              </w:rPr>
            </w:pPr>
            <w:r>
              <w:rPr>
                <w:rFonts w:ascii="Arial" w:hAnsi="Arial" w:cs="Arial"/>
                <w:sz w:val="20"/>
                <w:szCs w:val="20"/>
              </w:rPr>
              <w:t>Planovi obuka; evidencije prisustva i provjere znanja.</w:t>
            </w:r>
          </w:p>
        </w:tc>
        <w:tc>
          <w:tcPr>
            <w:tcW w:w="172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0A47BEE7" w14:textId="77777777" w:rsidR="001F77DD" w:rsidRDefault="00D97F9C">
            <w:pPr>
              <w:spacing w:before="60" w:after="60" w:line="240" w:lineRule="auto"/>
              <w:rPr>
                <w:rFonts w:ascii="Arial" w:hAnsi="Arial" w:cs="Arial"/>
                <w:sz w:val="20"/>
                <w:szCs w:val="20"/>
              </w:rPr>
            </w:pPr>
            <w:r>
              <w:rPr>
                <w:rFonts w:ascii="Arial" w:hAnsi="Arial" w:cs="Arial"/>
                <w:sz w:val="20"/>
                <w:szCs w:val="20"/>
              </w:rPr>
              <w:t>Funkcija ljudskih resursa i rukovodioci jedinica.</w:t>
            </w:r>
          </w:p>
        </w:tc>
        <w:tc>
          <w:tcPr>
            <w:tcW w:w="1368" w:type="dxa"/>
            <w:tcBorders>
              <w:top w:val="single" w:sz="4" w:space="0" w:color="D9D9D9"/>
              <w:left w:val="single" w:sz="4" w:space="0" w:color="D9D9D9"/>
              <w:bottom w:val="single" w:sz="4" w:space="0" w:color="D9D9D9"/>
              <w:right w:val="single" w:sz="4" w:space="0" w:color="D9D9D9"/>
            </w:tcBorders>
            <w:shd w:val="clear" w:color="auto" w:fill="F5F7FA"/>
            <w:vAlign w:val="center"/>
          </w:tcPr>
          <w:p w14:paraId="4B65A0F4" w14:textId="77777777" w:rsidR="001F77DD" w:rsidRDefault="00D97F9C">
            <w:pPr>
              <w:spacing w:before="60" w:after="60" w:line="240" w:lineRule="auto"/>
              <w:rPr>
                <w:rFonts w:ascii="Arial" w:hAnsi="Arial" w:cs="Arial"/>
                <w:sz w:val="20"/>
                <w:szCs w:val="20"/>
              </w:rPr>
            </w:pPr>
            <w:r>
              <w:rPr>
                <w:rFonts w:ascii="Arial" w:hAnsi="Arial" w:cs="Arial"/>
                <w:sz w:val="20"/>
                <w:szCs w:val="20"/>
              </w:rPr>
              <w:t>Kvartalno; godišnje.</w:t>
            </w:r>
          </w:p>
        </w:tc>
      </w:tr>
      <w:tr w:rsidR="001F77DD" w14:paraId="79D737A8" w14:textId="77777777">
        <w:trPr>
          <w:cantSplit/>
          <w:jc w:val="center"/>
        </w:trPr>
        <w:tc>
          <w:tcPr>
            <w:tcW w:w="187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96EFCBC" w14:textId="77777777" w:rsidR="001F77DD" w:rsidRDefault="00D97F9C">
            <w:pPr>
              <w:spacing w:before="60" w:after="60" w:line="240" w:lineRule="auto"/>
              <w:rPr>
                <w:rFonts w:ascii="Arial" w:hAnsi="Arial" w:cs="Arial"/>
                <w:sz w:val="20"/>
                <w:szCs w:val="20"/>
              </w:rPr>
            </w:pPr>
            <w:r>
              <w:rPr>
                <w:rFonts w:ascii="Arial" w:hAnsi="Arial" w:cs="Arial"/>
                <w:sz w:val="20"/>
                <w:szCs w:val="20"/>
              </w:rPr>
              <w:t>K28 Realizacija rezultata razvojnih projekata</w:t>
            </w:r>
          </w:p>
        </w:tc>
        <w:tc>
          <w:tcPr>
            <w:tcW w:w="3384"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1E2B4C0" w14:textId="77777777" w:rsidR="001F77DD" w:rsidRDefault="00D97F9C">
            <w:pPr>
              <w:spacing w:before="60" w:after="60" w:line="240" w:lineRule="auto"/>
              <w:rPr>
                <w:rFonts w:ascii="Arial" w:hAnsi="Arial" w:cs="Arial"/>
                <w:sz w:val="20"/>
                <w:szCs w:val="20"/>
              </w:rPr>
            </w:pPr>
            <w:r>
              <w:rPr>
                <w:rFonts w:ascii="Arial" w:hAnsi="Arial" w:cs="Arial"/>
                <w:sz w:val="20"/>
                <w:szCs w:val="20"/>
              </w:rPr>
              <w:t>Broj projektnih rezultata prihvaćenih u ugovorenom roku / broj rezultata sa rokom u periodu × 100; prikazati i osigurana međunarodna sredstva.</w:t>
            </w:r>
          </w:p>
        </w:tc>
        <w:tc>
          <w:tcPr>
            <w:tcW w:w="144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13D1EA3" w14:textId="77777777" w:rsidR="001F77DD" w:rsidRDefault="00D97F9C">
            <w:pPr>
              <w:spacing w:before="60" w:after="60" w:line="240" w:lineRule="auto"/>
              <w:rPr>
                <w:rFonts w:ascii="Arial" w:hAnsi="Arial" w:cs="Arial"/>
                <w:sz w:val="20"/>
                <w:szCs w:val="20"/>
              </w:rPr>
            </w:pPr>
            <w:r>
              <w:rPr>
                <w:rFonts w:ascii="Arial" w:hAnsi="Arial" w:cs="Arial"/>
                <w:sz w:val="20"/>
                <w:szCs w:val="20"/>
              </w:rPr>
              <w:t>B27: utvrditi i dokumentovati tokom 2027.</w:t>
            </w:r>
          </w:p>
        </w:tc>
        <w:tc>
          <w:tcPr>
            <w:tcW w:w="29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0CD3AD8" w14:textId="77777777" w:rsidR="001F77DD" w:rsidRDefault="00D97F9C">
            <w:pPr>
              <w:spacing w:before="60" w:after="60" w:line="240" w:lineRule="auto"/>
              <w:rPr>
                <w:rFonts w:ascii="Arial" w:hAnsi="Arial" w:cs="Arial"/>
                <w:sz w:val="20"/>
                <w:szCs w:val="20"/>
              </w:rPr>
            </w:pPr>
            <w:r>
              <w:rPr>
                <w:rFonts w:ascii="Arial" w:hAnsi="Arial" w:cs="Arial"/>
                <w:sz w:val="20"/>
                <w:szCs w:val="20"/>
              </w:rPr>
              <w:t>≥90% rezultata u roku; najmanje jedan finansiran projekat godišnje kada postoje odgovarajući pozivi.</w:t>
            </w:r>
          </w:p>
        </w:tc>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C572BF6" w14:textId="77777777" w:rsidR="001F77DD" w:rsidRDefault="00D97F9C">
            <w:pPr>
              <w:spacing w:before="60" w:after="60" w:line="240" w:lineRule="auto"/>
              <w:rPr>
                <w:rFonts w:ascii="Arial" w:hAnsi="Arial" w:cs="Arial"/>
                <w:sz w:val="20"/>
                <w:szCs w:val="20"/>
              </w:rPr>
            </w:pPr>
            <w:r>
              <w:rPr>
                <w:rFonts w:ascii="Arial" w:hAnsi="Arial" w:cs="Arial"/>
                <w:sz w:val="20"/>
                <w:szCs w:val="20"/>
              </w:rPr>
              <w:t>Ugovori; zapisnici prihvata; finansijski i projektni izvještaji.</w:t>
            </w:r>
          </w:p>
        </w:tc>
        <w:tc>
          <w:tcPr>
            <w:tcW w:w="172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5F61F10" w14:textId="77777777" w:rsidR="001F77DD" w:rsidRDefault="00D97F9C">
            <w:pPr>
              <w:spacing w:before="60" w:after="60" w:line="240" w:lineRule="auto"/>
              <w:rPr>
                <w:rFonts w:ascii="Arial" w:hAnsi="Arial" w:cs="Arial"/>
                <w:sz w:val="20"/>
                <w:szCs w:val="20"/>
              </w:rPr>
            </w:pPr>
            <w:r>
              <w:rPr>
                <w:rFonts w:ascii="Arial" w:hAnsi="Arial" w:cs="Arial"/>
                <w:sz w:val="20"/>
                <w:szCs w:val="20"/>
              </w:rPr>
              <w:t>Projektni rukovodioci, međunarodna saradnja i finansije.</w:t>
            </w:r>
          </w:p>
        </w:tc>
        <w:tc>
          <w:tcPr>
            <w:tcW w:w="136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E12A125" w14:textId="77777777" w:rsidR="001F77DD" w:rsidRDefault="00D97F9C">
            <w:pPr>
              <w:spacing w:before="60" w:after="60" w:line="240" w:lineRule="auto"/>
              <w:rPr>
                <w:rFonts w:ascii="Arial" w:hAnsi="Arial" w:cs="Arial"/>
                <w:sz w:val="20"/>
                <w:szCs w:val="20"/>
              </w:rPr>
            </w:pPr>
            <w:r>
              <w:rPr>
                <w:rFonts w:ascii="Arial" w:hAnsi="Arial" w:cs="Arial"/>
                <w:sz w:val="20"/>
                <w:szCs w:val="20"/>
              </w:rPr>
              <w:t>Kvartalno; godišnje.</w:t>
            </w:r>
          </w:p>
        </w:tc>
      </w:tr>
    </w:tbl>
    <w:p w14:paraId="793C73A3" w14:textId="77777777" w:rsidR="001F77DD" w:rsidRDefault="001F77DD">
      <w:pPr>
        <w:rPr>
          <w:rFonts w:ascii="Arial" w:hAnsi="Arial" w:cs="Arial"/>
          <w:sz w:val="20"/>
          <w:szCs w:val="20"/>
        </w:rPr>
      </w:pPr>
    </w:p>
    <w:p w14:paraId="0C638651" w14:textId="1A70ECE3" w:rsidR="001F77DD" w:rsidRDefault="00D97F9C">
      <w:pPr>
        <w:rPr>
          <w:rFonts w:ascii="Arial" w:hAnsi="Arial" w:cs="Arial"/>
          <w:sz w:val="20"/>
          <w:szCs w:val="20"/>
        </w:rPr>
      </w:pPr>
      <w:r>
        <w:rPr>
          <w:rFonts w:ascii="Arial" w:hAnsi="Arial" w:cs="Arial"/>
          <w:sz w:val="20"/>
          <w:szCs w:val="20"/>
        </w:rPr>
        <w:t>Pojmovi: P95 je vrijednost ispod koje se nalazi 95% mjerenja; SLA je dogovoreni nivo usluge; BIA je analiza uticaja prekida na poslovanje; DR je oporavak nakon ozbiljnog prekida. Procenti poboljšanja računaju se prema uporedivom B27. Ako je B27 nula ili nedovoljno pouzdan, određuje se apsolutni prag nakon prvog reprezentativnog mjerenja. Kod rokova sanacije u nazivnik ulaze sve potvrđene ranjivosti čiji rok ističe u periodu, uključujući neriješene.</w:t>
      </w:r>
    </w:p>
    <w:p w14:paraId="6A0B0BBB" w14:textId="77777777" w:rsidR="001F77DD" w:rsidRDefault="001F77DD">
      <w:pPr>
        <w:rPr>
          <w:rFonts w:ascii="Arial" w:hAnsi="Arial" w:cs="Arial"/>
          <w:sz w:val="20"/>
          <w:szCs w:val="20"/>
          <w:lang w:val="sr-Latn-BA"/>
        </w:rPr>
      </w:pPr>
    </w:p>
    <w:sectPr w:rsidR="001F77DD">
      <w:pgSz w:w="16838" w:h="11906" w:orient="landscape"/>
      <w:pgMar w:top="1584" w:right="1440" w:bottom="1440" w:left="1440" w:header="706" w:footer="706" w:gutter="0"/>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462D5F60" w16cex:dateUtc="2026-10-09T12:45:10Z"/>
  <w16cex:commentExtensible w16cex:durableId="4D404BC3" w16cex:dateUtc="2026-10-09T12:46:10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462D5F60"/>
  <w16cid:commentId w16cid:paraId="00000002" w16cid:durableId="4D404BC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0CA7F5" w14:textId="77777777" w:rsidR="00017C1C" w:rsidRDefault="00017C1C">
      <w:pPr>
        <w:spacing w:after="0" w:line="240" w:lineRule="auto"/>
      </w:pPr>
      <w:r>
        <w:separator/>
      </w:r>
    </w:p>
  </w:endnote>
  <w:endnote w:type="continuationSeparator" w:id="0">
    <w:p w14:paraId="22E4DB52" w14:textId="77777777" w:rsidR="00017C1C" w:rsidRDefault="00017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charset w:val="00"/>
    <w:family w:val="auto"/>
    <w:pitch w:val="default"/>
  </w:font>
  <w:font w:name="Droid Sans Fallback">
    <w:charset w:val="00"/>
    <w:family w:val="auto"/>
    <w:pitch w:val="default"/>
  </w:font>
  <w:font w:name="FreeSans">
    <w:charset w:val="00"/>
    <w:family w:val="auto"/>
    <w:pitch w:val="default"/>
  </w:font>
  <w:font w:name="Georgia">
    <w:panose1 w:val="02040502050405020303"/>
    <w:charset w:val="00"/>
    <w:family w:val="roman"/>
    <w:pitch w:val="variable"/>
    <w:sig w:usb0="00000287" w:usb1="00000000" w:usb2="00000000" w:usb3="00000000" w:csb0="000000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8811809"/>
      <w:docPartObj>
        <w:docPartGallery w:val="Page Numbers (Bottom of Page)"/>
        <w:docPartUnique/>
      </w:docPartObj>
    </w:sdtPr>
    <w:sdtContent>
      <w:p w14:paraId="0E9D8119" w14:textId="613B89C2" w:rsidR="00524C4C" w:rsidRDefault="00524C4C">
        <w:pPr>
          <w:pStyle w:val="Footer"/>
          <w:jc w:val="right"/>
        </w:pPr>
        <w:r>
          <w:fldChar w:fldCharType="begin"/>
        </w:r>
        <w:r>
          <w:instrText xml:space="preserve"> PAGE   \* MERGEFORMAT </w:instrText>
        </w:r>
        <w:r>
          <w:fldChar w:fldCharType="separate"/>
        </w:r>
        <w:r w:rsidR="00701BD1">
          <w:rPr>
            <w:noProof/>
          </w:rPr>
          <w:t>41</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93365" w14:textId="77777777" w:rsidR="00524C4C" w:rsidRDefault="00524C4C">
    <w:pPr>
      <w:pStyle w:val="Footer"/>
    </w:pPr>
    <w:r>
      <w:rPr>
        <w:rFonts w:ascii="Arial" w:hAnsi="Arial" w:cs="Arial"/>
        <w:noProof/>
        <w:sz w:val="12"/>
        <w:szCs w:val="12"/>
        <w:lang w:val="en-US"/>
      </w:rPr>
      <mc:AlternateContent>
        <mc:Choice Requires="wps">
          <w:drawing>
            <wp:anchor distT="45720" distB="45720" distL="114300" distR="114300" simplePos="0" relativeHeight="251660288" behindDoc="0" locked="0" layoutInCell="1" allowOverlap="1">
              <wp:simplePos x="0" y="0"/>
              <wp:positionH relativeFrom="column">
                <wp:posOffset>3225800</wp:posOffset>
              </wp:positionH>
              <wp:positionV relativeFrom="paragraph">
                <wp:posOffset>-161925</wp:posOffset>
              </wp:positionV>
              <wp:extent cx="2585720" cy="55372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5720" cy="553720"/>
                      </a:xfrm>
                      <a:prstGeom prst="rect">
                        <a:avLst/>
                      </a:prstGeom>
                      <a:noFill/>
                      <a:ln w="9525">
                        <a:noFill/>
                        <a:miter lim="800000"/>
                        <a:headEnd/>
                        <a:tailEnd/>
                      </a:ln>
                    </wps:spPr>
                    <wps:txbx>
                      <w:txbxContent>
                        <w:p w14:paraId="058EF518" w14:textId="77777777" w:rsidR="00524C4C" w:rsidRDefault="00524C4C">
                          <w:pPr>
                            <w:pStyle w:val="Footer"/>
                            <w:rPr>
                              <w:rFonts w:ascii="Roboto" w:hAnsi="Roboto"/>
                              <w:color w:val="182E58"/>
                              <w:sz w:val="18"/>
                              <w:szCs w:val="18"/>
                              <w:lang w:val="sr-Cyrl-BA"/>
                            </w:rPr>
                          </w:pPr>
                          <w:r>
                            <w:rPr>
                              <w:rFonts w:ascii="Roboto" w:hAnsi="Roboto"/>
                              <w:color w:val="182E58"/>
                              <w:sz w:val="18"/>
                              <w:szCs w:val="18"/>
                              <w:lang w:val="sr-Cyrl-BA"/>
                            </w:rPr>
                            <w:t>Ивана Фрање Јукића 2</w:t>
                          </w:r>
                          <w:r>
                            <w:rPr>
                              <w:rFonts w:ascii="Roboto" w:hAnsi="Roboto"/>
                              <w:color w:val="182E58"/>
                              <w:sz w:val="18"/>
                              <w:szCs w:val="18"/>
                            </w:rPr>
                            <w:t>, 7</w:t>
                          </w:r>
                          <w:r>
                            <w:rPr>
                              <w:rFonts w:ascii="Roboto" w:hAnsi="Roboto"/>
                              <w:color w:val="182E58"/>
                              <w:sz w:val="18"/>
                              <w:szCs w:val="18"/>
                              <w:lang w:val="sr-Cyrl-BA"/>
                            </w:rPr>
                            <w:t>8</w:t>
                          </w:r>
                          <w:r>
                            <w:rPr>
                              <w:rFonts w:ascii="Roboto" w:hAnsi="Roboto"/>
                              <w:color w:val="182E58"/>
                              <w:sz w:val="18"/>
                              <w:szCs w:val="18"/>
                            </w:rPr>
                            <w:t xml:space="preserve">000 </w:t>
                          </w:r>
                          <w:r>
                            <w:rPr>
                              <w:rFonts w:ascii="Roboto" w:hAnsi="Roboto"/>
                              <w:color w:val="182E58"/>
                              <w:sz w:val="18"/>
                              <w:szCs w:val="18"/>
                              <w:lang w:val="sr-Cyrl-BA"/>
                            </w:rPr>
                            <w:t>Бања Лука</w:t>
                          </w:r>
                        </w:p>
                        <w:p w14:paraId="585D4A59" w14:textId="77777777" w:rsidR="00524C4C" w:rsidRDefault="00524C4C">
                          <w:pPr>
                            <w:pStyle w:val="Footer"/>
                            <w:rPr>
                              <w:rFonts w:ascii="Roboto" w:hAnsi="Roboto"/>
                              <w:color w:val="182E58"/>
                              <w:sz w:val="18"/>
                              <w:szCs w:val="18"/>
                              <w:lang w:val="sr-Cyrl-BA"/>
                            </w:rPr>
                          </w:pPr>
                          <w:r>
                            <w:rPr>
                              <w:rFonts w:ascii="Roboto" w:hAnsi="Roboto"/>
                              <w:color w:val="182E58"/>
                              <w:sz w:val="18"/>
                              <w:szCs w:val="18"/>
                              <w:lang w:val="sr-Cyrl-BA"/>
                            </w:rPr>
                            <w:t>Тел</w:t>
                          </w:r>
                          <w:r>
                            <w:rPr>
                              <w:rFonts w:ascii="Roboto" w:hAnsi="Roboto"/>
                              <w:color w:val="182E58"/>
                              <w:sz w:val="18"/>
                              <w:szCs w:val="18"/>
                            </w:rPr>
                            <w:t>:</w:t>
                          </w:r>
                          <w:r>
                            <w:rPr>
                              <w:rFonts w:ascii="Roboto" w:hAnsi="Roboto"/>
                              <w:color w:val="182E58"/>
                              <w:sz w:val="18"/>
                              <w:szCs w:val="18"/>
                              <w:lang w:val="sr-Cyrl-BA"/>
                            </w:rPr>
                            <w:t xml:space="preserve">  </w:t>
                          </w:r>
                          <w:r>
                            <w:rPr>
                              <w:rFonts w:ascii="Roboto" w:hAnsi="Roboto"/>
                              <w:color w:val="182E58"/>
                              <w:sz w:val="18"/>
                              <w:szCs w:val="18"/>
                            </w:rPr>
                            <w:t xml:space="preserve"> + 387 </w:t>
                          </w:r>
                          <w:r>
                            <w:rPr>
                              <w:rFonts w:ascii="Roboto" w:hAnsi="Roboto"/>
                              <w:color w:val="182E58"/>
                              <w:sz w:val="18"/>
                              <w:szCs w:val="18"/>
                              <w:lang w:val="sr-Cyrl-BA"/>
                            </w:rPr>
                            <w:t>51 340 170</w:t>
                          </w:r>
                        </w:p>
                        <w:p w14:paraId="0DFA0DC1" w14:textId="77777777" w:rsidR="00524C4C" w:rsidRDefault="00524C4C">
                          <w:pPr>
                            <w:pStyle w:val="Footer"/>
                            <w:rPr>
                              <w:sz w:val="18"/>
                              <w:szCs w:val="18"/>
                              <w:lang w:val="sr-Cyrl-BA"/>
                            </w:rPr>
                          </w:pPr>
                          <w:r>
                            <w:rPr>
                              <w:rFonts w:ascii="Roboto" w:hAnsi="Roboto"/>
                              <w:color w:val="182E58"/>
                              <w:sz w:val="18"/>
                              <w:szCs w:val="18"/>
                              <w:lang w:val="sr-Cyrl-BA"/>
                            </w:rPr>
                            <w:t>Факс</w:t>
                          </w:r>
                          <w:r>
                            <w:rPr>
                              <w:rFonts w:ascii="Roboto" w:hAnsi="Roboto"/>
                              <w:color w:val="182E58"/>
                              <w:sz w:val="18"/>
                              <w:szCs w:val="18"/>
                            </w:rPr>
                            <w:t xml:space="preserve">: + 387 </w:t>
                          </w:r>
                          <w:r>
                            <w:rPr>
                              <w:rFonts w:ascii="Roboto" w:hAnsi="Roboto"/>
                              <w:color w:val="182E58"/>
                              <w:sz w:val="18"/>
                              <w:szCs w:val="18"/>
                              <w:lang w:val="sr-Cyrl-BA"/>
                            </w:rPr>
                            <w:t>51 340 180</w:t>
                          </w:r>
                        </w:p>
                        <w:p w14:paraId="4CEE5B49" w14:textId="77777777" w:rsidR="00524C4C" w:rsidRDefault="00524C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9" type="#_x0000_t202" style="position:absolute;margin-left:254pt;margin-top:-12.75pt;width:203.6pt;height:43.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" filled="f" stroked="f">
              <v:textbox>
                <w:txbxContent>
                  <w:p w14:paraId="058EF518" w14:textId="77777777" w:rsidR="00524C4C" w:rsidRDefault="00524C4C">
                    <w:pPr>
                      <w:pStyle w:val="Footer"/>
                      <w:rPr>
                        <w:rFonts w:ascii="Roboto" w:hAnsi="Roboto"/>
                        <w:color w:val="182E58"/>
                        <w:sz w:val="18"/>
                        <w:szCs w:val="18"/>
                        <w:lang w:val="sr-Cyrl-BA"/>
                      </w:rPr>
                    </w:pPr>
                    <w:r>
                      <w:rPr>
                        <w:rFonts w:ascii="Roboto" w:hAnsi="Roboto"/>
                        <w:color w:val="182E58"/>
                        <w:sz w:val="18"/>
                        <w:szCs w:val="18"/>
                        <w:lang w:val="sr-Cyrl-BA"/>
                      </w:rPr>
                      <w:t>Ивана Фрање Јукића 2</w:t>
                    </w:r>
                    <w:r>
                      <w:rPr>
                        <w:rFonts w:ascii="Roboto" w:hAnsi="Roboto"/>
                        <w:color w:val="182E58"/>
                        <w:sz w:val="18"/>
                        <w:szCs w:val="18"/>
                      </w:rPr>
                      <w:t>, 7</w:t>
                    </w:r>
                    <w:r>
                      <w:rPr>
                        <w:rFonts w:ascii="Roboto" w:hAnsi="Roboto"/>
                        <w:color w:val="182E58"/>
                        <w:sz w:val="18"/>
                        <w:szCs w:val="18"/>
                        <w:lang w:val="sr-Cyrl-BA"/>
                      </w:rPr>
                      <w:t>8</w:t>
                    </w:r>
                    <w:r>
                      <w:rPr>
                        <w:rFonts w:ascii="Roboto" w:hAnsi="Roboto"/>
                        <w:color w:val="182E58"/>
                        <w:sz w:val="18"/>
                        <w:szCs w:val="18"/>
                      </w:rPr>
                      <w:t xml:space="preserve">000 </w:t>
                    </w:r>
                    <w:r>
                      <w:rPr>
                        <w:rFonts w:ascii="Roboto" w:hAnsi="Roboto"/>
                        <w:color w:val="182E58"/>
                        <w:sz w:val="18"/>
                        <w:szCs w:val="18"/>
                        <w:lang w:val="sr-Cyrl-BA"/>
                      </w:rPr>
                      <w:t>Бања Лука</w:t>
                    </w:r>
                  </w:p>
                  <w:p w14:paraId="585D4A59" w14:textId="77777777" w:rsidR="00524C4C" w:rsidRDefault="00524C4C">
                    <w:pPr>
                      <w:pStyle w:val="Footer"/>
                      <w:rPr>
                        <w:rFonts w:ascii="Roboto" w:hAnsi="Roboto"/>
                        <w:color w:val="182E58"/>
                        <w:sz w:val="18"/>
                        <w:szCs w:val="18"/>
                        <w:lang w:val="sr-Cyrl-BA"/>
                      </w:rPr>
                    </w:pPr>
                    <w:r>
                      <w:rPr>
                        <w:rFonts w:ascii="Roboto" w:hAnsi="Roboto"/>
                        <w:color w:val="182E58"/>
                        <w:sz w:val="18"/>
                        <w:szCs w:val="18"/>
                        <w:lang w:val="sr-Cyrl-BA"/>
                      </w:rPr>
                      <w:t>Тел</w:t>
                    </w:r>
                    <w:r>
                      <w:rPr>
                        <w:rFonts w:ascii="Roboto" w:hAnsi="Roboto"/>
                        <w:color w:val="182E58"/>
                        <w:sz w:val="18"/>
                        <w:szCs w:val="18"/>
                      </w:rPr>
                      <w:t>:</w:t>
                    </w:r>
                    <w:r>
                      <w:rPr>
                        <w:rFonts w:ascii="Roboto" w:hAnsi="Roboto"/>
                        <w:color w:val="182E58"/>
                        <w:sz w:val="18"/>
                        <w:szCs w:val="18"/>
                        <w:lang w:val="sr-Cyrl-BA"/>
                      </w:rPr>
                      <w:t xml:space="preserve">  </w:t>
                    </w:r>
                    <w:r>
                      <w:rPr>
                        <w:rFonts w:ascii="Roboto" w:hAnsi="Roboto"/>
                        <w:color w:val="182E58"/>
                        <w:sz w:val="18"/>
                        <w:szCs w:val="18"/>
                      </w:rPr>
                      <w:t xml:space="preserve"> + 387 </w:t>
                    </w:r>
                    <w:r>
                      <w:rPr>
                        <w:rFonts w:ascii="Roboto" w:hAnsi="Roboto"/>
                        <w:color w:val="182E58"/>
                        <w:sz w:val="18"/>
                        <w:szCs w:val="18"/>
                        <w:lang w:val="sr-Cyrl-BA"/>
                      </w:rPr>
                      <w:t>51 340 170</w:t>
                    </w:r>
                  </w:p>
                  <w:p w14:paraId="0DFA0DC1" w14:textId="77777777" w:rsidR="00524C4C" w:rsidRDefault="00524C4C">
                    <w:pPr>
                      <w:pStyle w:val="Footer"/>
                      <w:rPr>
                        <w:sz w:val="18"/>
                        <w:szCs w:val="18"/>
                        <w:lang w:val="sr-Cyrl-BA"/>
                      </w:rPr>
                    </w:pPr>
                    <w:r>
                      <w:rPr>
                        <w:rFonts w:ascii="Roboto" w:hAnsi="Roboto"/>
                        <w:color w:val="182E58"/>
                        <w:sz w:val="18"/>
                        <w:szCs w:val="18"/>
                        <w:lang w:val="sr-Cyrl-BA"/>
                      </w:rPr>
                      <w:t>Факс</w:t>
                    </w:r>
                    <w:r>
                      <w:rPr>
                        <w:rFonts w:ascii="Roboto" w:hAnsi="Roboto"/>
                        <w:color w:val="182E58"/>
                        <w:sz w:val="18"/>
                        <w:szCs w:val="18"/>
                      </w:rPr>
                      <w:t xml:space="preserve">: + 387 </w:t>
                    </w:r>
                    <w:r>
                      <w:rPr>
                        <w:rFonts w:ascii="Roboto" w:hAnsi="Roboto"/>
                        <w:color w:val="182E58"/>
                        <w:sz w:val="18"/>
                        <w:szCs w:val="18"/>
                        <w:lang w:val="sr-Cyrl-BA"/>
                      </w:rPr>
                      <w:t>51 340 180</w:t>
                    </w:r>
                  </w:p>
                  <w:p w14:paraId="4CEE5B49" w14:textId="77777777" w:rsidR="00524C4C" w:rsidRDefault="00524C4C"/>
                </w:txbxContent>
              </v:textbox>
            </v:shape>
          </w:pict>
        </mc:Fallback>
      </mc:AlternateContent>
    </w:r>
    <w:r>
      <w:rPr>
        <w:rFonts w:ascii="Arial" w:hAnsi="Arial" w:cs="Arial"/>
        <w:noProof/>
        <w:sz w:val="12"/>
        <w:szCs w:val="12"/>
        <w:lang w:val="en-US"/>
      </w:rPr>
      <mc:AlternateContent>
        <mc:Choice Requires="wps">
          <w:drawing>
            <wp:anchor distT="45720" distB="45720" distL="114300" distR="114300" simplePos="0" relativeHeight="251658240" behindDoc="0" locked="0" layoutInCell="1" allowOverlap="1">
              <wp:simplePos x="0" y="0"/>
              <wp:positionH relativeFrom="column">
                <wp:posOffset>24130</wp:posOffset>
              </wp:positionH>
              <wp:positionV relativeFrom="paragraph">
                <wp:posOffset>-163195</wp:posOffset>
              </wp:positionV>
              <wp:extent cx="2360930" cy="569595"/>
              <wp:effectExtent l="0" t="0" r="0" b="190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69595"/>
                      </a:xfrm>
                      <a:prstGeom prst="rect">
                        <a:avLst/>
                      </a:prstGeom>
                      <a:noFill/>
                      <a:ln w="9525">
                        <a:noFill/>
                        <a:miter lim="800000"/>
                        <a:headEnd/>
                        <a:tailEnd/>
                      </a:ln>
                    </wps:spPr>
                    <wps:txbx>
                      <w:txbxContent>
                        <w:p w14:paraId="41EF7A7F" w14:textId="77777777" w:rsidR="00524C4C" w:rsidRDefault="00524C4C">
                          <w:pPr>
                            <w:pStyle w:val="Footer"/>
                            <w:jc w:val="right"/>
                            <w:rPr>
                              <w:rFonts w:ascii="Roboto" w:hAnsi="Roboto"/>
                              <w:color w:val="182E58"/>
                              <w:sz w:val="18"/>
                              <w:szCs w:val="18"/>
                            </w:rPr>
                          </w:pPr>
                          <w:r>
                            <w:rPr>
                              <w:rFonts w:ascii="Roboto" w:hAnsi="Roboto"/>
                              <w:color w:val="182E58"/>
                              <w:sz w:val="18"/>
                              <w:szCs w:val="18"/>
                            </w:rPr>
                            <w:t>Ivana Franje Jukića 2, 78000 Banja Luka</w:t>
                          </w:r>
                        </w:p>
                        <w:p w14:paraId="1B3B35ED" w14:textId="77777777" w:rsidR="00524C4C" w:rsidRDefault="00524C4C">
                          <w:pPr>
                            <w:pStyle w:val="Footer"/>
                            <w:jc w:val="right"/>
                            <w:rPr>
                              <w:rFonts w:ascii="Roboto" w:hAnsi="Roboto"/>
                              <w:color w:val="182E58"/>
                              <w:sz w:val="18"/>
                              <w:szCs w:val="18"/>
                            </w:rPr>
                          </w:pPr>
                          <w:r>
                            <w:rPr>
                              <w:rFonts w:ascii="Roboto" w:hAnsi="Roboto"/>
                              <w:color w:val="182E58"/>
                              <w:sz w:val="18"/>
                              <w:szCs w:val="18"/>
                            </w:rPr>
                            <w:t>Tel: + 387 51 340 170</w:t>
                          </w:r>
                        </w:p>
                        <w:p w14:paraId="49908C21" w14:textId="77777777" w:rsidR="00524C4C" w:rsidRDefault="00524C4C">
                          <w:pPr>
                            <w:pStyle w:val="Footer"/>
                            <w:jc w:val="right"/>
                            <w:rPr>
                              <w:sz w:val="18"/>
                              <w:szCs w:val="18"/>
                            </w:rPr>
                          </w:pPr>
                          <w:r>
                            <w:rPr>
                              <w:rFonts w:ascii="Roboto" w:hAnsi="Roboto"/>
                              <w:color w:val="182E58"/>
                              <w:sz w:val="18"/>
                              <w:szCs w:val="18"/>
                            </w:rPr>
                            <w:t>Fax: + 387 51 340 180</w:t>
                          </w:r>
                        </w:p>
                        <w:p w14:paraId="495CAF52" w14:textId="77777777" w:rsidR="00524C4C" w:rsidRDefault="00524C4C">
                          <w:pPr>
                            <w:jc w:val="right"/>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40" type="#_x0000_t202" style="position:absolute;margin-left:1.9pt;margin-top:-12.85pt;width:185.9pt;height:44.85pt;z-index:2516582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" filled="f" stroked="f">
              <v:textbox>
                <w:txbxContent>
                  <w:p w14:paraId="41EF7A7F" w14:textId="77777777" w:rsidR="00524C4C" w:rsidRDefault="00524C4C">
                    <w:pPr>
                      <w:pStyle w:val="Footer"/>
                      <w:jc w:val="right"/>
                      <w:rPr>
                        <w:rFonts w:ascii="Roboto" w:hAnsi="Roboto"/>
                        <w:color w:val="182E58"/>
                        <w:sz w:val="18"/>
                        <w:szCs w:val="18"/>
                      </w:rPr>
                    </w:pPr>
                    <w:r>
                      <w:rPr>
                        <w:rFonts w:ascii="Roboto" w:hAnsi="Roboto"/>
                        <w:color w:val="182E58"/>
                        <w:sz w:val="18"/>
                        <w:szCs w:val="18"/>
                      </w:rPr>
                      <w:t>Ivana Franje Jukića 2, 78000 Banja Luka</w:t>
                    </w:r>
                  </w:p>
                  <w:p w14:paraId="1B3B35ED" w14:textId="77777777" w:rsidR="00524C4C" w:rsidRDefault="00524C4C">
                    <w:pPr>
                      <w:pStyle w:val="Footer"/>
                      <w:jc w:val="right"/>
                      <w:rPr>
                        <w:rFonts w:ascii="Roboto" w:hAnsi="Roboto"/>
                        <w:color w:val="182E58"/>
                        <w:sz w:val="18"/>
                        <w:szCs w:val="18"/>
                      </w:rPr>
                    </w:pPr>
                    <w:r>
                      <w:rPr>
                        <w:rFonts w:ascii="Roboto" w:hAnsi="Roboto"/>
                        <w:color w:val="182E58"/>
                        <w:sz w:val="18"/>
                        <w:szCs w:val="18"/>
                      </w:rPr>
                      <w:t>Tel: + 387 51 340 170</w:t>
                    </w:r>
                  </w:p>
                  <w:p w14:paraId="49908C21" w14:textId="77777777" w:rsidR="00524C4C" w:rsidRDefault="00524C4C">
                    <w:pPr>
                      <w:pStyle w:val="Footer"/>
                      <w:jc w:val="right"/>
                      <w:rPr>
                        <w:sz w:val="18"/>
                        <w:szCs w:val="18"/>
                      </w:rPr>
                    </w:pPr>
                    <w:r>
                      <w:rPr>
                        <w:rFonts w:ascii="Roboto" w:hAnsi="Roboto"/>
                        <w:color w:val="182E58"/>
                        <w:sz w:val="18"/>
                        <w:szCs w:val="18"/>
                      </w:rPr>
                      <w:t>Fax: + 387 51 340 180</w:t>
                    </w:r>
                  </w:p>
                  <w:p w14:paraId="495CAF52" w14:textId="77777777" w:rsidR="00524C4C" w:rsidRDefault="00524C4C">
                    <w:pPr>
                      <w:jc w:val="right"/>
                    </w:pPr>
                  </w:p>
                </w:txbxContent>
              </v:textbox>
            </v:shape>
          </w:pict>
        </mc:Fallback>
      </mc:AlternateContent>
    </w:r>
    <w:r>
      <w:rPr>
        <w:noProof/>
        <w:lang w:val="en-US"/>
      </w:rPr>
      <mc:AlternateContent>
        <mc:Choice Requires="wpg">
          <w:drawing>
            <wp:anchor distT="0" distB="0" distL="114300" distR="114300" simplePos="0" relativeHeight="251662336" behindDoc="0" locked="0" layoutInCell="1" allowOverlap="1">
              <wp:simplePos x="0" y="0"/>
              <wp:positionH relativeFrom="column">
                <wp:posOffset>2363470</wp:posOffset>
              </wp:positionH>
              <wp:positionV relativeFrom="paragraph">
                <wp:posOffset>-166370</wp:posOffset>
              </wp:positionV>
              <wp:extent cx="802640" cy="623570"/>
              <wp:effectExtent l="0" t="0" r="0" b="5080"/>
              <wp:wrapSquare wrapText="bothSides"/>
              <wp:docPr id="8" name="Picture 1" descr="F:\LOGO\IDDEEA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GO\IDDEEA logo JPG.jpg"/>
                      <pic:cNvPicPr>
                        <a:picLocks noChangeAspect="1"/>
                      </pic:cNvPicPr>
                    </pic:nvPicPr>
                    <pic:blipFill rotWithShape="1">
                      <a:blip r:embed="rId1"/>
                      <a:stretch/>
                    </pic:blipFill>
                    <pic:spPr bwMode="auto">
                      <a:xfrm>
                        <a:off x="0" y="0"/>
                        <a:ext cx="802640" cy="62357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position:absolute;z-index:251662336;o:allowoverlap:true;o:allowincell:true;mso-position-horizontal-relative:text;margin-left:186.10pt;mso-position-horizontal:absolute;mso-position-vertical-relative:text;margin-top:-13.10pt;mso-position-vertical:absolute;width:63.20pt;height:49.10pt;mso-wrap-distance-left:9.00pt;mso-wrap-distance-top:0.00pt;mso-wrap-distance-right:9.00pt;mso-wrap-distance-bottom:0.00pt;z-index:1;" stroked="f">
              <w10:wrap type="square"/>
              <v:imagedata r:id="rId2" o:title=""/>
              <o:lock v:ext="edit" rotation="t"/>
            </v:shape>
          </w:pict>
        </mc:Fallback>
      </mc:AlternateContent>
    </w:r>
  </w:p>
  <w:p w14:paraId="7CC48DA7" w14:textId="77777777" w:rsidR="00524C4C" w:rsidRDefault="00524C4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24BEF" w14:textId="0D6E96EF" w:rsidR="00524C4C" w:rsidRDefault="00524C4C">
    <w:pPr>
      <w:pStyle w:val="Footer"/>
      <w:jc w:val="right"/>
      <w:rPr>
        <w:rStyle w:val="Emphasis"/>
        <w:sz w:val="20"/>
        <w:szCs w:val="20"/>
      </w:rPr>
    </w:pPr>
    <w:r>
      <w:rPr>
        <w:i/>
        <w:iCs/>
        <w:noProof/>
        <w:sz w:val="20"/>
        <w:szCs w:val="20"/>
        <w:lang w:val="en-US"/>
      </w:rPr>
      <mc:AlternateContent>
        <mc:Choice Requires="wpg">
          <w:drawing>
            <wp:inline distT="0" distB="0" distL="0" distR="0">
              <wp:extent cx="6381750" cy="85725"/>
              <wp:effectExtent l="0" t="0" r="0"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rotWithShape="1">
                      <a:blip r:embed="rId1"/>
                      <a:stretch/>
                    </pic:blipFill>
                    <pic:spPr bwMode="auto">
                      <a:xfrm>
                        <a:off x="0" y="0"/>
                        <a:ext cx="6381750" cy="85725"/>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502.50pt;height:6.75pt;mso-wrap-distance-left:0.00pt;mso-wrap-distance-top:0.00pt;mso-wrap-distance-right:0.00pt;mso-wrap-distance-bottom:0.00pt;z-index:1;" stroked="f">
              <v:imagedata r:id="rId2" o:title=""/>
              <o:lock v:ext="edit" rotation="t"/>
            </v:shape>
          </w:pict>
        </mc:Fallback>
      </mc:AlternateContent>
    </w:r>
    <w:r>
      <w:rPr>
        <w:rStyle w:val="Emphasis"/>
        <w:sz w:val="20"/>
        <w:szCs w:val="20"/>
      </w:rPr>
      <w:fldChar w:fldCharType="begin"/>
    </w:r>
    <w:r>
      <w:rPr>
        <w:rStyle w:val="Emphasis"/>
        <w:sz w:val="20"/>
        <w:szCs w:val="20"/>
      </w:rPr>
      <w:instrText xml:space="preserve"> PAGE   \* MERGEFORMAT </w:instrText>
    </w:r>
    <w:r>
      <w:rPr>
        <w:rStyle w:val="Emphasis"/>
        <w:sz w:val="20"/>
        <w:szCs w:val="20"/>
      </w:rPr>
      <w:fldChar w:fldCharType="separate"/>
    </w:r>
    <w:r w:rsidR="00701BD1">
      <w:rPr>
        <w:rStyle w:val="Emphasis"/>
        <w:noProof/>
        <w:sz w:val="20"/>
        <w:szCs w:val="20"/>
      </w:rPr>
      <w:t>48</w:t>
    </w:r>
    <w:r>
      <w:rPr>
        <w:rStyle w:val="Emphasis"/>
        <w:sz w:val="20"/>
        <w:szCs w:val="20"/>
      </w:rPr>
      <w:fldChar w:fldCharType="end"/>
    </w:r>
  </w:p>
  <w:p w14:paraId="3D87C2ED" w14:textId="77777777" w:rsidR="00524C4C" w:rsidRDefault="00524C4C">
    <w:pPr>
      <w:pStyle w:val="Footer"/>
      <w:rPr>
        <w:rStyle w:val="Emphasis"/>
        <w:sz w:val="20"/>
        <w:szCs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07FB2" w14:textId="77777777" w:rsidR="00524C4C" w:rsidRDefault="00524C4C">
    <w:pPr>
      <w:tabs>
        <w:tab w:val="center" w:pos="4536"/>
        <w:tab w:val="right" w:pos="9072"/>
      </w:tabs>
      <w:spacing w:after="0" w:line="240" w:lineRule="auto"/>
      <w:jc w:val="center"/>
      <w:rPr>
        <w:sz w:val="16"/>
        <w:szCs w:val="16"/>
        <w:lang w:val="sr-Latn-BA"/>
      </w:rPr>
    </w:pPr>
    <w:r>
      <w:rPr>
        <w:rFonts w:cs="Calibri"/>
        <w:sz w:val="16"/>
        <w:szCs w:val="16"/>
        <w:lang w:val="sr-Latn-BA"/>
      </w:rPr>
      <w:t>Kralja Petra I Karađorđevića 83A, Banja Luka, Bosna i Hercegovina, tel:</w:t>
    </w:r>
    <w:r>
      <w:rPr>
        <w:sz w:val="16"/>
        <w:szCs w:val="16"/>
        <w:lang w:val="sr-Latn-BA"/>
      </w:rPr>
      <w:t xml:space="preserve"> </w:t>
    </w:r>
    <w:r>
      <w:rPr>
        <w:rFonts w:cs="Calibri"/>
        <w:sz w:val="16"/>
        <w:szCs w:val="16"/>
        <w:lang w:val="sr-Latn-BA"/>
      </w:rPr>
      <w:t>+387 51 340 170, fax:</w:t>
    </w:r>
    <w:r>
      <w:rPr>
        <w:sz w:val="16"/>
        <w:szCs w:val="16"/>
        <w:lang w:val="sr-Latn-BA"/>
      </w:rPr>
      <w:t xml:space="preserve"> </w:t>
    </w:r>
    <w:r>
      <w:rPr>
        <w:rFonts w:cs="Calibri"/>
        <w:sz w:val="16"/>
        <w:szCs w:val="16"/>
        <w:lang w:val="sr-Latn-BA"/>
      </w:rPr>
      <w:t>+387 51 340 180</w:t>
    </w:r>
  </w:p>
  <w:p w14:paraId="6FAF8AA1" w14:textId="77777777" w:rsidR="00524C4C" w:rsidRDefault="00524C4C">
    <w:pPr>
      <w:tabs>
        <w:tab w:val="center" w:pos="4536"/>
        <w:tab w:val="right" w:pos="9072"/>
      </w:tabs>
      <w:spacing w:after="0" w:line="240" w:lineRule="auto"/>
      <w:jc w:val="center"/>
      <w:rPr>
        <w:rFonts w:cs="Calibri"/>
        <w:sz w:val="14"/>
        <w:szCs w:val="14"/>
        <w:lang w:val="sr-Latn-BA"/>
      </w:rPr>
    </w:pPr>
    <w:r>
      <w:rPr>
        <w:sz w:val="16"/>
        <w:szCs w:val="16"/>
        <w:lang w:val="sr-Cyrl-RS"/>
      </w:rPr>
      <w:t>Кра</w:t>
    </w:r>
    <w:r>
      <w:rPr>
        <w:rFonts w:cs="Calibri"/>
        <w:sz w:val="16"/>
        <w:szCs w:val="16"/>
        <w:lang w:val="sr-Cyrl-RS"/>
      </w:rPr>
      <w:t xml:space="preserve">ља Петра </w:t>
    </w:r>
    <w:r>
      <w:rPr>
        <w:rFonts w:cs="Calibri"/>
        <w:sz w:val="16"/>
        <w:szCs w:val="16"/>
        <w:lang w:val="sr-Latn-BA"/>
      </w:rPr>
      <w:t xml:space="preserve">I </w:t>
    </w:r>
    <w:r>
      <w:rPr>
        <w:rFonts w:cs="Calibri"/>
        <w:sz w:val="16"/>
        <w:szCs w:val="16"/>
        <w:lang w:val="sr-Cyrl-RS"/>
      </w:rPr>
      <w:t>Карађорђевића 83</w:t>
    </w:r>
    <w:r>
      <w:rPr>
        <w:rFonts w:cs="Calibri"/>
        <w:sz w:val="16"/>
        <w:szCs w:val="16"/>
      </w:rPr>
      <w:t>A</w:t>
    </w:r>
    <w:r>
      <w:rPr>
        <w:rFonts w:cs="Calibri"/>
        <w:sz w:val="16"/>
        <w:szCs w:val="16"/>
        <w:lang w:val="sr-Cyrl-RS"/>
      </w:rPr>
      <w:t xml:space="preserve">, </w:t>
    </w:r>
    <w:r>
      <w:rPr>
        <w:sz w:val="16"/>
        <w:szCs w:val="16"/>
        <w:lang w:val="sr-Cyrl-RS"/>
      </w:rPr>
      <w:t>Бања Лука,</w:t>
    </w:r>
    <w:r>
      <w:rPr>
        <w:sz w:val="16"/>
        <w:szCs w:val="16"/>
        <w:lang w:val="ru-RU"/>
      </w:rPr>
      <w:t xml:space="preserve"> </w:t>
    </w:r>
    <w:r>
      <w:rPr>
        <w:sz w:val="16"/>
        <w:szCs w:val="16"/>
        <w:lang w:val="sr-Cyrl-BA"/>
      </w:rPr>
      <w:t xml:space="preserve">Босна и Херцеговина, </w:t>
    </w:r>
    <w:r>
      <w:rPr>
        <w:rFonts w:cs="Calibri"/>
        <w:sz w:val="16"/>
        <w:szCs w:val="16"/>
        <w:lang w:val="sr-Cyrl-RS"/>
      </w:rPr>
      <w:t>тел:+387 51 340 170, фах:</w:t>
    </w:r>
    <w:r>
      <w:rPr>
        <w:sz w:val="16"/>
        <w:szCs w:val="16"/>
        <w:lang w:val="sr-Cyrl-RS"/>
      </w:rPr>
      <w:t xml:space="preserve"> </w:t>
    </w:r>
    <w:r>
      <w:rPr>
        <w:sz w:val="16"/>
        <w:szCs w:val="16"/>
        <w:lang w:val="ru-RU"/>
      </w:rPr>
      <w:t>+</w:t>
    </w:r>
    <w:r>
      <w:rPr>
        <w:rFonts w:cs="Calibri"/>
        <w:sz w:val="16"/>
        <w:szCs w:val="16"/>
        <w:lang w:val="sr-Cyrl-RS"/>
      </w:rPr>
      <w:t>387 51 340 180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D4511B" w14:textId="77777777" w:rsidR="00017C1C" w:rsidRDefault="00017C1C">
      <w:pPr>
        <w:spacing w:after="0" w:line="240" w:lineRule="auto"/>
      </w:pPr>
      <w:r>
        <w:separator/>
      </w:r>
    </w:p>
  </w:footnote>
  <w:footnote w:type="continuationSeparator" w:id="0">
    <w:p w14:paraId="569CE073" w14:textId="77777777" w:rsidR="00017C1C" w:rsidRDefault="00017C1C">
      <w:pPr>
        <w:spacing w:after="0" w:line="240" w:lineRule="auto"/>
      </w:pPr>
      <w:r>
        <w:continuationSeparator/>
      </w:r>
    </w:p>
  </w:footnote>
  <w:footnote w:id="1">
    <w:p w14:paraId="4247F41F" w14:textId="77777777" w:rsidR="00524C4C" w:rsidRDefault="00524C4C">
      <w:pPr>
        <w:pStyle w:val="FootnoteText"/>
        <w:rPr>
          <w:lang w:val="bs-Latn-BA"/>
        </w:rPr>
      </w:pPr>
      <w:r>
        <w:rPr>
          <w:rStyle w:val="FootnoteReference"/>
        </w:rPr>
        <w:footnoteRef/>
      </w:r>
      <w:r>
        <w:t xml:space="preserve"> </w:t>
      </w:r>
      <w:r>
        <w:rPr>
          <w:lang w:val="bs-Latn-BA"/>
        </w:rPr>
        <w:t>Tabelarni prikaz nadležnosti IDDEEA sa zakonodavnim i institucionalnim okvirom</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92725" w14:textId="77777777" w:rsidR="00524C4C" w:rsidRDefault="00524C4C">
    <w:pPr>
      <w:pStyle w:val="Header"/>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94DD6" w14:textId="164C1849" w:rsidR="00524C4C" w:rsidRDefault="00524C4C">
    <w:pPr>
      <w:pStyle w:val="Header"/>
    </w:pPr>
    <w:r>
      <w:rPr>
        <w:rFonts w:ascii="Arial" w:hAnsi="Arial" w:cs="Arial"/>
        <w:noProof/>
        <w:lang w:val="en-US"/>
      </w:rPr>
      <mc:AlternateContent>
        <mc:Choice Requires="wpg">
          <w:drawing>
            <wp:anchor distT="0" distB="0" distL="114300" distR="114300" simplePos="0" relativeHeight="251656192" behindDoc="1" locked="0" layoutInCell="1" allowOverlap="1">
              <wp:simplePos x="0" y="0"/>
              <wp:positionH relativeFrom="column">
                <wp:posOffset>-1696662</wp:posOffset>
              </wp:positionH>
              <wp:positionV relativeFrom="paragraph">
                <wp:posOffset>-64061</wp:posOffset>
              </wp:positionV>
              <wp:extent cx="1821083" cy="10107135"/>
              <wp:effectExtent l="0" t="0" r="8255"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rotWithShape="1">
                      <a:blip r:embed="rId1"/>
                      <a:stretch/>
                    </pic:blipFill>
                    <pic:spPr bwMode="auto">
                      <a:xfrm>
                        <a:off x="0" y="0"/>
                        <a:ext cx="1821083" cy="10107135"/>
                      </a:xfrm>
                      <a:prstGeom prst="rect">
                        <a:avLst/>
                      </a:prstGeom>
                      <a:noFill/>
                      <a:ln>
                        <a:noFill/>
                      </a:ln>
                    </pic:spPr>
                  </pic:pic>
                </a:graphicData>
              </a:graphic>
              <wp14:sizeRelH relativeFrom="margin">
                <wp14:pctWidth>0</wp14:pctWidth>
              </wp14:sizeRelH>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6192;o:allowoverlap:true;o:allowincell:true;mso-position-horizontal-relative:text;margin-left:-133.60pt;mso-position-horizontal:absolute;mso-position-vertical-relative:text;margin-top:-5.04pt;mso-position-vertical:absolute;width:143.39pt;height:795.84pt;mso-wrap-distance-left:9.00pt;mso-wrap-distance-top:0.00pt;mso-wrap-distance-right:9.00pt;mso-wrap-distance-bottom:0.00pt;z-index:1;" stroked="f">
              <v:imagedata r:id="rId2" o:title=""/>
              <o:lock v:ext="edit" rotation="t"/>
            </v:shape>
          </w:pict>
        </mc:Fallback>
      </mc:AlternateContent>
    </w:r>
    <w:r>
      <w:rPr>
        <w:noProof/>
        <w:lang w:val="en-US"/>
      </w:rPr>
      <mc:AlternateContent>
        <mc:Choice Requires="wpg">
          <w:drawing>
            <wp:anchor distT="0" distB="0" distL="114300" distR="114300" simplePos="0" relativeHeight="251654144" behindDoc="0" locked="0" layoutInCell="1" allowOverlap="1">
              <wp:simplePos x="0" y="0"/>
              <wp:positionH relativeFrom="margin">
                <wp:posOffset>761120</wp:posOffset>
              </wp:positionH>
              <wp:positionV relativeFrom="paragraph">
                <wp:posOffset>-132774</wp:posOffset>
              </wp:positionV>
              <wp:extent cx="5537200" cy="457200"/>
              <wp:effectExtent l="0" t="0" r="6350" b="0"/>
              <wp:wrapNone/>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icPr>
                    <pic:blipFill rotWithShape="1">
                      <a:blip r:embed="rId3"/>
                      <a:stretch/>
                    </pic:blipFill>
                    <pic:spPr bwMode="auto">
                      <a:xfrm>
                        <a:off x="0" y="0"/>
                        <a:ext cx="5537200" cy="457200"/>
                      </a:xfrm>
                      <a:prstGeom prst="rect">
                        <a:avLst/>
                      </a:prstGeom>
                      <a:noFill/>
                      <a:ln>
                        <a:noFill/>
                      </a:ln>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4144;o:allowoverlap:true;o:allowincell:true;mso-position-horizontal-relative:margin;margin-left:59.93pt;mso-position-horizontal:absolute;mso-position-vertical-relative:text;margin-top:-10.45pt;mso-position-vertical:absolute;width:436.00pt;height:36.00pt;mso-wrap-distance-left:9.00pt;mso-wrap-distance-top:0.00pt;mso-wrap-distance-right:9.00pt;mso-wrap-distance-bottom:0.00pt;z-index:1;" stroked="f">
              <v:imagedata r:id="rId4" o:title=""/>
              <o:lock v:ext="edit" rotation="t"/>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118E5" w14:textId="77777777" w:rsidR="00524C4C" w:rsidRDefault="00524C4C">
    <w:pPr>
      <w:pStyle w:val="Header"/>
    </w:pPr>
    <w:r>
      <w:rPr>
        <w:rFonts w:ascii="Arial" w:hAnsi="Arial" w:cs="Arial"/>
        <w:i/>
        <w:sz w:val="20"/>
        <w:szCs w:val="20"/>
      </w:rPr>
      <w:t>www.iddeea.gov.ba</w:t>
    </w:r>
    <w:r>
      <w:rPr>
        <w:noProof/>
        <w:lang w:val="en-US"/>
      </w:rPr>
      <mc:AlternateContent>
        <mc:Choice Requires="wpg">
          <w:drawing>
            <wp:inline distT="0" distB="0" distL="0" distR="0">
              <wp:extent cx="5638800" cy="76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rotWithShape="1">
                      <a:blip r:embed="rId1"/>
                      <a:stretch/>
                    </pic:blipFill>
                    <pic:spPr bwMode="auto">
                      <a:xfrm>
                        <a:off x="0" y="0"/>
                        <a:ext cx="5638800" cy="76200"/>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444.00pt;height:6.00pt;mso-wrap-distance-left:0.00pt;mso-wrap-distance-top:0.00pt;mso-wrap-distance-right:0.00pt;mso-wrap-distance-bottom:0.00pt;z-index:1;" stroked="f">
              <v:imagedata r:id="rId2" o:title=""/>
              <o:lock v:ext="edit" rotation="t"/>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235" w:type="dxa"/>
      <w:tblInd w:w="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160"/>
      <w:gridCol w:w="3565"/>
    </w:tblGrid>
    <w:tr w:rsidR="00524C4C" w14:paraId="67767C19" w14:textId="77777777">
      <w:tc>
        <w:tcPr>
          <w:tcW w:w="9235" w:type="dxa"/>
          <w:gridSpan w:val="3"/>
          <w:tcBorders>
            <w:top w:val="none" w:sz="4" w:space="0" w:color="000000"/>
            <w:left w:val="none" w:sz="4" w:space="0" w:color="000000"/>
            <w:bottom w:val="none" w:sz="4" w:space="0" w:color="000000"/>
            <w:right w:val="none" w:sz="4" w:space="0" w:color="000000"/>
          </w:tcBorders>
        </w:tcPr>
        <w:p w14:paraId="70AFABE0" w14:textId="77777777" w:rsidR="00524C4C" w:rsidRDefault="00524C4C">
          <w:pPr>
            <w:pStyle w:val="Header"/>
            <w:rPr>
              <w:rStyle w:val="Emphasis"/>
            </w:rPr>
          </w:pPr>
          <w:r>
            <w:rPr>
              <w:i/>
              <w:iCs/>
              <w:noProof/>
              <w:lang w:val="en-US"/>
            </w:rPr>
            <mc:AlternateContent>
              <mc:Choice Requires="wpg">
                <w:drawing>
                  <wp:inline distT="0" distB="0" distL="0" distR="0">
                    <wp:extent cx="5608708" cy="1010578"/>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emo1.jpg"/>
                            <pic:cNvPicPr>
                              <a:picLocks noChangeAspect="1"/>
                            </pic:cNvPicPr>
                          </pic:nvPicPr>
                          <pic:blipFill rotWithShape="1">
                            <a:blip r:embed="rId1"/>
                            <a:stretch/>
                          </pic:blipFill>
                          <pic:spPr bwMode="auto">
                            <a:xfrm>
                              <a:off x="0" y="0"/>
                              <a:ext cx="5645665" cy="1017236"/>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441.63pt;height:79.57pt;mso-wrap-distance-left:0.00pt;mso-wrap-distance-top:0.00pt;mso-wrap-distance-right:0.00pt;mso-wrap-distance-bottom:0.00pt;z-index:1;" stroked="false">
                    <v:imagedata r:id="rId2" o:title=""/>
                    <o:lock v:ext="edit" rotation="t"/>
                  </v:shape>
                </w:pict>
              </mc:Fallback>
            </mc:AlternateContent>
          </w:r>
          <w:r>
            <w:rPr>
              <w:i/>
              <w:iCs/>
              <w:noProof/>
              <w:lang w:val="en-US"/>
            </w:rPr>
            <mc:AlternateContent>
              <mc:Choice Requires="wpg">
                <w:drawing>
                  <wp:anchor distT="0" distB="0" distL="114300" distR="114300" simplePos="0" relativeHeight="251657728" behindDoc="1" locked="0" layoutInCell="1" allowOverlap="1">
                    <wp:simplePos x="0" y="0"/>
                    <wp:positionH relativeFrom="column">
                      <wp:posOffset>-1582874</wp:posOffset>
                    </wp:positionH>
                    <wp:positionV relativeFrom="paragraph">
                      <wp:posOffset>-442776</wp:posOffset>
                    </wp:positionV>
                    <wp:extent cx="1236980" cy="10681224"/>
                    <wp:effectExtent l="0" t="0" r="1270" b="6350"/>
                    <wp:wrapNone/>
                    <wp:docPr id="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ka.jpg"/>
                            <pic:cNvPicPr>
                              <a:picLocks noChangeAspect="1"/>
                            </pic:cNvPicPr>
                          </pic:nvPicPr>
                          <pic:blipFill rotWithShape="1">
                            <a:blip r:embed="rId3"/>
                            <a:stretch/>
                          </pic:blipFill>
                          <pic:spPr bwMode="auto">
                            <a:xfrm>
                              <a:off x="0" y="0"/>
                              <a:ext cx="1236980" cy="10681224"/>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251657728;o:allowoverlap:true;o:allowincell:true;mso-position-horizontal-relative:text;margin-left:-124.64pt;mso-position-horizontal:absolute;mso-position-vertical-relative:text;margin-top:-34.86pt;mso-position-vertical:absolute;width:97.40pt;height:841.04pt;mso-wrap-distance-left:9.00pt;mso-wrap-distance-top:0.00pt;mso-wrap-distance-right:9.00pt;mso-wrap-distance-bottom:0.00pt;z-index:1;" stroked="false">
                    <v:imagedata r:id="rId4" o:title=""/>
                    <o:lock v:ext="edit" rotation="t"/>
                  </v:shape>
                </w:pict>
              </mc:Fallback>
            </mc:AlternateContent>
          </w:r>
        </w:p>
      </w:tc>
    </w:tr>
    <w:tr w:rsidR="00524C4C" w14:paraId="4783A692" w14:textId="77777777">
      <w:tc>
        <w:tcPr>
          <w:tcW w:w="3510" w:type="dxa"/>
          <w:tcBorders>
            <w:top w:val="none" w:sz="4" w:space="0" w:color="000000"/>
            <w:left w:val="none" w:sz="4" w:space="0" w:color="000000"/>
            <w:bottom w:val="none" w:sz="4" w:space="0" w:color="000000"/>
            <w:right w:val="none" w:sz="4" w:space="0" w:color="000000"/>
          </w:tcBorders>
        </w:tcPr>
        <w:p w14:paraId="22BA86CB" w14:textId="77777777" w:rsidR="00524C4C" w:rsidRDefault="00524C4C">
          <w:pPr>
            <w:pStyle w:val="Header"/>
            <w:jc w:val="center"/>
            <w:rPr>
              <w:rStyle w:val="Emphasis"/>
            </w:rPr>
          </w:pPr>
        </w:p>
      </w:tc>
      <w:tc>
        <w:tcPr>
          <w:tcW w:w="2160" w:type="dxa"/>
          <w:tcBorders>
            <w:top w:val="none" w:sz="4" w:space="0" w:color="000000"/>
            <w:left w:val="none" w:sz="4" w:space="0" w:color="000000"/>
            <w:bottom w:val="none" w:sz="4" w:space="0" w:color="000000"/>
            <w:right w:val="none" w:sz="4" w:space="0" w:color="000000"/>
          </w:tcBorders>
        </w:tcPr>
        <w:p w14:paraId="68D1E0A0" w14:textId="77777777" w:rsidR="00524C4C" w:rsidRDefault="00524C4C">
          <w:pPr>
            <w:pStyle w:val="Header"/>
            <w:jc w:val="center"/>
            <w:rPr>
              <w:rStyle w:val="Emphasis"/>
            </w:rPr>
          </w:pPr>
        </w:p>
      </w:tc>
      <w:tc>
        <w:tcPr>
          <w:tcW w:w="3565" w:type="dxa"/>
          <w:tcBorders>
            <w:top w:val="none" w:sz="4" w:space="0" w:color="000000"/>
            <w:left w:val="none" w:sz="4" w:space="0" w:color="000000"/>
            <w:bottom w:val="none" w:sz="4" w:space="0" w:color="000000"/>
            <w:right w:val="none" w:sz="4" w:space="0" w:color="000000"/>
          </w:tcBorders>
        </w:tcPr>
        <w:p w14:paraId="56A353E2" w14:textId="77777777" w:rsidR="00524C4C" w:rsidRDefault="00524C4C">
          <w:pPr>
            <w:pStyle w:val="Header"/>
            <w:jc w:val="center"/>
            <w:rPr>
              <w:rStyle w:val="Emphasis"/>
            </w:rPr>
          </w:pPr>
        </w:p>
      </w:tc>
    </w:tr>
  </w:tbl>
  <w:p w14:paraId="72CAEA3A" w14:textId="77777777" w:rsidR="00524C4C" w:rsidRDefault="00524C4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multilevel"/>
    <w:tmpl w:val="5726AA42"/>
    <w:lvl w:ilvl="0">
      <w:start w:val="1"/>
      <w:numFmt w:val="bullet"/>
      <w:pStyle w:val="ListBullet"/>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4247894"/>
    <w:multiLevelType w:val="multilevel"/>
    <w:tmpl w:val="17CE8766"/>
    <w:lvl w:ilvl="0">
      <w:start w:val="1"/>
      <w:numFmt w:val="bullet"/>
      <w:lvlText w:val=""/>
      <w:lvlJc w:val="left"/>
      <w:pPr>
        <w:ind w:left="1146" w:hanging="360"/>
      </w:pPr>
      <w:rPr>
        <w:rFonts w:ascii="Symbol" w:hAnsi="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2" w15:restartNumberingAfterBreak="0">
    <w:nsid w:val="07310BC7"/>
    <w:multiLevelType w:val="multilevel"/>
    <w:tmpl w:val="CB6C9F8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FCD5EB3"/>
    <w:multiLevelType w:val="multilevel"/>
    <w:tmpl w:val="F126CC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00F2FEA"/>
    <w:multiLevelType w:val="multilevel"/>
    <w:tmpl w:val="CA48C814"/>
    <w:lvl w:ilvl="0">
      <w:start w:val="3"/>
      <w:numFmt w:val="decimal"/>
      <w:lvlText w:val="%1"/>
      <w:lvlJc w:val="left"/>
      <w:pPr>
        <w:ind w:left="384" w:hanging="384"/>
      </w:pPr>
      <w:rPr>
        <w:rFonts w:hint="default"/>
      </w:rPr>
    </w:lvl>
    <w:lvl w:ilvl="1">
      <w:start w:val="13"/>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E96B9F"/>
    <w:multiLevelType w:val="multilevel"/>
    <w:tmpl w:val="4B6E336A"/>
    <w:lvl w:ilvl="0">
      <w:start w:val="3"/>
      <w:numFmt w:val="decimal"/>
      <w:lvlText w:val="%1."/>
      <w:lvlJc w:val="left"/>
      <w:pPr>
        <w:ind w:left="360" w:hanging="360"/>
      </w:pPr>
      <w:rPr>
        <w:rFonts w:hint="default"/>
      </w:rPr>
    </w:lvl>
    <w:lvl w:ilvl="1">
      <w:start w:val="4"/>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 w15:restartNumberingAfterBreak="0">
    <w:nsid w:val="1175722D"/>
    <w:multiLevelType w:val="multilevel"/>
    <w:tmpl w:val="F00463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3E024BC"/>
    <w:multiLevelType w:val="multilevel"/>
    <w:tmpl w:val="A3F8E4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A737567"/>
    <w:multiLevelType w:val="multilevel"/>
    <w:tmpl w:val="77F806A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BBA703B"/>
    <w:multiLevelType w:val="multilevel"/>
    <w:tmpl w:val="C1F45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FC16DCE"/>
    <w:multiLevelType w:val="multilevel"/>
    <w:tmpl w:val="BC1AB22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3C51E0"/>
    <w:multiLevelType w:val="multilevel"/>
    <w:tmpl w:val="F59289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2DCE7D93"/>
    <w:multiLevelType w:val="multilevel"/>
    <w:tmpl w:val="8E76CE86"/>
    <w:lvl w:ilvl="0">
      <w:start w:val="8"/>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32703628"/>
    <w:multiLevelType w:val="multilevel"/>
    <w:tmpl w:val="968E740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38241AF"/>
    <w:multiLevelType w:val="multilevel"/>
    <w:tmpl w:val="2F227DAA"/>
    <w:lvl w:ilvl="0">
      <w:start w:val="3"/>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EC12FC4"/>
    <w:multiLevelType w:val="multilevel"/>
    <w:tmpl w:val="42203488"/>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FF2770C"/>
    <w:multiLevelType w:val="multilevel"/>
    <w:tmpl w:val="987C33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2991703"/>
    <w:multiLevelType w:val="multilevel"/>
    <w:tmpl w:val="BBC4E716"/>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2FE4A42"/>
    <w:multiLevelType w:val="multilevel"/>
    <w:tmpl w:val="D64A88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DB31640"/>
    <w:multiLevelType w:val="multilevel"/>
    <w:tmpl w:val="60506E82"/>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1573313"/>
    <w:multiLevelType w:val="multilevel"/>
    <w:tmpl w:val="E0DC094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58D48F0"/>
    <w:multiLevelType w:val="multilevel"/>
    <w:tmpl w:val="7AC8A83A"/>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905696B"/>
    <w:multiLevelType w:val="multilevel"/>
    <w:tmpl w:val="300A4FF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99C0B8F"/>
    <w:multiLevelType w:val="multilevel"/>
    <w:tmpl w:val="77BE4A56"/>
    <w:lvl w:ilvl="0">
      <w:start w:val="1"/>
      <w:numFmt w:val="decimal"/>
      <w:lvlText w:val="%1."/>
      <w:lvlJc w:val="left"/>
      <w:pPr>
        <w:ind w:left="360" w:hanging="360"/>
      </w:pPr>
      <w:rPr>
        <w:rFonts w:eastAsia="Calibri" w:hint="default"/>
      </w:rPr>
    </w:lvl>
    <w:lvl w:ilvl="1">
      <w:start w:val="2"/>
      <w:numFmt w:val="decimal"/>
      <w:lvlText w:val="%1.%2."/>
      <w:lvlJc w:val="left"/>
      <w:pPr>
        <w:ind w:left="720" w:hanging="360"/>
      </w:pPr>
      <w:rPr>
        <w:rFonts w:eastAsia="Calibri" w:hint="default"/>
      </w:rPr>
    </w:lvl>
    <w:lvl w:ilvl="2">
      <w:start w:val="1"/>
      <w:numFmt w:val="decimal"/>
      <w:lvlText w:val="%1.%2.%3."/>
      <w:lvlJc w:val="left"/>
      <w:pPr>
        <w:ind w:left="1440" w:hanging="720"/>
      </w:pPr>
      <w:rPr>
        <w:rFonts w:eastAsia="Calibri" w:hint="default"/>
      </w:rPr>
    </w:lvl>
    <w:lvl w:ilvl="3">
      <w:start w:val="1"/>
      <w:numFmt w:val="decimal"/>
      <w:lvlText w:val="%1.%2.%3.%4."/>
      <w:lvlJc w:val="left"/>
      <w:pPr>
        <w:ind w:left="1800" w:hanging="72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2880" w:hanging="108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3960" w:hanging="1440"/>
      </w:pPr>
      <w:rPr>
        <w:rFonts w:eastAsia="Calibri" w:hint="default"/>
      </w:rPr>
    </w:lvl>
    <w:lvl w:ilvl="8">
      <w:start w:val="1"/>
      <w:numFmt w:val="decimal"/>
      <w:lvlText w:val="%1.%2.%3.%4.%5.%6.%7.%8.%9."/>
      <w:lvlJc w:val="left"/>
      <w:pPr>
        <w:ind w:left="4680" w:hanging="1800"/>
      </w:pPr>
      <w:rPr>
        <w:rFonts w:eastAsia="Calibri" w:hint="default"/>
      </w:rPr>
    </w:lvl>
  </w:abstractNum>
  <w:abstractNum w:abstractNumId="24" w15:restartNumberingAfterBreak="0">
    <w:nsid w:val="615A1025"/>
    <w:multiLevelType w:val="multilevel"/>
    <w:tmpl w:val="129E73CA"/>
    <w:lvl w:ilvl="0">
      <w:start w:val="1"/>
      <w:numFmt w:val="decimal"/>
      <w:pStyle w:val="Heading1"/>
      <w:lvlText w:val="%1"/>
      <w:lvlJc w:val="left"/>
      <w:pPr>
        <w:tabs>
          <w:tab w:val="num" w:pos="432"/>
        </w:tabs>
        <w:ind w:left="432" w:hanging="432"/>
      </w:pPr>
      <w:rPr>
        <w:rFonts w:cs="Times New Roman" w:hint="default"/>
      </w:rPr>
    </w:lvl>
    <w:lvl w:ilvl="1">
      <w:start w:val="1"/>
      <w:numFmt w:val="decimal"/>
      <w:pStyle w:val="Heading2"/>
      <w:lvlText w:val="%1.%2"/>
      <w:lvlJc w:val="left"/>
      <w:pPr>
        <w:tabs>
          <w:tab w:val="num" w:pos="576"/>
        </w:tabs>
        <w:ind w:left="576" w:hanging="576"/>
      </w:pPr>
      <w:rPr>
        <w:rFonts w:cs="Times New Roman" w:hint="default"/>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1080"/>
        </w:tabs>
        <w:ind w:left="864" w:hanging="864"/>
      </w:pPr>
      <w:rPr>
        <w:rFonts w:cs="Times New Roman" w:hint="default"/>
      </w:rPr>
    </w:lvl>
    <w:lvl w:ilvl="4">
      <w:start w:val="1"/>
      <w:numFmt w:val="decimal"/>
      <w:pStyle w:val="Heading5"/>
      <w:lvlText w:val="%1.%2.%3.%4.%5"/>
      <w:lvlJc w:val="left"/>
      <w:pPr>
        <w:tabs>
          <w:tab w:val="num" w:pos="1440"/>
        </w:tabs>
        <w:ind w:left="1008" w:hanging="1008"/>
      </w:pPr>
      <w:rPr>
        <w:rFonts w:cs="Times New Roman" w:hint="default"/>
      </w:rPr>
    </w:lvl>
    <w:lvl w:ilvl="5">
      <w:start w:val="1"/>
      <w:numFmt w:val="decimal"/>
      <w:pStyle w:val="Heading6"/>
      <w:lvlText w:val="%1.%2.%3.%4.%5.%6"/>
      <w:lvlJc w:val="left"/>
      <w:pPr>
        <w:tabs>
          <w:tab w:val="num" w:pos="1800"/>
        </w:tabs>
        <w:ind w:left="1152" w:hanging="1152"/>
      </w:pPr>
      <w:rPr>
        <w:rFonts w:cs="Times New Roman" w:hint="default"/>
      </w:rPr>
    </w:lvl>
    <w:lvl w:ilvl="6">
      <w:start w:val="1"/>
      <w:numFmt w:val="decimal"/>
      <w:pStyle w:val="Heading7"/>
      <w:lvlText w:val="%1.%2.%3.%4.%5.%6.%7"/>
      <w:lvlJc w:val="left"/>
      <w:pPr>
        <w:tabs>
          <w:tab w:val="num" w:pos="1800"/>
        </w:tabs>
        <w:ind w:left="1296" w:hanging="1296"/>
      </w:pPr>
      <w:rPr>
        <w:rFonts w:cs="Times New Roman" w:hint="default"/>
      </w:rPr>
    </w:lvl>
    <w:lvl w:ilvl="7">
      <w:start w:val="1"/>
      <w:numFmt w:val="decimal"/>
      <w:pStyle w:val="Heading8"/>
      <w:lvlText w:val="%1.%2.%3.%4.%5.%6.%7.%8"/>
      <w:lvlJc w:val="left"/>
      <w:pPr>
        <w:tabs>
          <w:tab w:val="num" w:pos="2160"/>
        </w:tabs>
        <w:ind w:left="1440" w:hanging="1440"/>
      </w:pPr>
      <w:rPr>
        <w:rFonts w:cs="Times New Roman" w:hint="default"/>
      </w:rPr>
    </w:lvl>
    <w:lvl w:ilvl="8">
      <w:start w:val="1"/>
      <w:numFmt w:val="decimal"/>
      <w:pStyle w:val="Heading9"/>
      <w:lvlText w:val="%1.%2.%3.%4.%5.%6.%7.%8.%9"/>
      <w:lvlJc w:val="left"/>
      <w:pPr>
        <w:tabs>
          <w:tab w:val="num" w:pos="2520"/>
        </w:tabs>
        <w:ind w:left="1584" w:hanging="1584"/>
      </w:pPr>
      <w:rPr>
        <w:rFonts w:cs="Times New Roman" w:hint="default"/>
      </w:rPr>
    </w:lvl>
  </w:abstractNum>
  <w:abstractNum w:abstractNumId="25" w15:restartNumberingAfterBreak="0">
    <w:nsid w:val="6310377B"/>
    <w:multiLevelType w:val="multilevel"/>
    <w:tmpl w:val="67686E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5FA796A"/>
    <w:multiLevelType w:val="multilevel"/>
    <w:tmpl w:val="46A491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9AF38D9"/>
    <w:multiLevelType w:val="multilevel"/>
    <w:tmpl w:val="F848A8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B6844F5"/>
    <w:multiLevelType w:val="multilevel"/>
    <w:tmpl w:val="78F25D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BED3D6A"/>
    <w:multiLevelType w:val="multilevel"/>
    <w:tmpl w:val="16DEB5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723A762B"/>
    <w:multiLevelType w:val="multilevel"/>
    <w:tmpl w:val="FE50F576"/>
    <w:lvl w:ilvl="0">
      <w:start w:val="1"/>
      <w:numFmt w:val="decimal"/>
      <w:lvlText w:val="%1."/>
      <w:lvlJc w:val="left"/>
      <w:pPr>
        <w:ind w:left="720" w:hanging="360"/>
      </w:pPr>
      <w:rPr>
        <w:rFonts w:ascii="Times New Roman" w:eastAsia="Times New Roman" w:hAnsi="Times New Roman" w:cs="Times New Roman" w:hint="default"/>
        <w:sz w:val="2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D9918C7"/>
    <w:multiLevelType w:val="multilevel"/>
    <w:tmpl w:val="321840F8"/>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4"/>
  </w:num>
  <w:num w:numId="2">
    <w:abstractNumId w:val="3"/>
  </w:num>
  <w:num w:numId="3">
    <w:abstractNumId w:val="21"/>
  </w:num>
  <w:num w:numId="4">
    <w:abstractNumId w:val="7"/>
  </w:num>
  <w:num w:numId="5">
    <w:abstractNumId w:val="17"/>
  </w:num>
  <w:num w:numId="6">
    <w:abstractNumId w:val="2"/>
  </w:num>
  <w:num w:numId="7">
    <w:abstractNumId w:val="25"/>
  </w:num>
  <w:num w:numId="8">
    <w:abstractNumId w:val="8"/>
  </w:num>
  <w:num w:numId="9">
    <w:abstractNumId w:val="9"/>
  </w:num>
  <w:num w:numId="10">
    <w:abstractNumId w:val="28"/>
  </w:num>
  <w:num w:numId="11">
    <w:abstractNumId w:val="12"/>
  </w:num>
  <w:num w:numId="12">
    <w:abstractNumId w:val="26"/>
  </w:num>
  <w:num w:numId="13">
    <w:abstractNumId w:val="22"/>
  </w:num>
  <w:num w:numId="14">
    <w:abstractNumId w:val="29"/>
  </w:num>
  <w:num w:numId="15">
    <w:abstractNumId w:val="11"/>
  </w:num>
  <w:num w:numId="16">
    <w:abstractNumId w:val="6"/>
  </w:num>
  <w:num w:numId="17">
    <w:abstractNumId w:val="15"/>
  </w:num>
  <w:num w:numId="18">
    <w:abstractNumId w:val="1"/>
  </w:num>
  <w:num w:numId="19">
    <w:abstractNumId w:val="23"/>
  </w:num>
  <w:num w:numId="20">
    <w:abstractNumId w:val="14"/>
  </w:num>
  <w:num w:numId="21">
    <w:abstractNumId w:val="19"/>
  </w:num>
  <w:num w:numId="22">
    <w:abstractNumId w:val="31"/>
  </w:num>
  <w:num w:numId="23">
    <w:abstractNumId w:val="4"/>
  </w:num>
  <w:num w:numId="24">
    <w:abstractNumId w:val="16"/>
  </w:num>
  <w:num w:numId="25">
    <w:abstractNumId w:val="27"/>
  </w:num>
  <w:num w:numId="26">
    <w:abstractNumId w:val="5"/>
  </w:num>
  <w:num w:numId="27">
    <w:abstractNumId w:val="30"/>
  </w:num>
  <w:num w:numId="28">
    <w:abstractNumId w:val="10"/>
  </w:num>
  <w:num w:numId="29">
    <w:abstractNumId w:val="20"/>
  </w:num>
  <w:num w:numId="30">
    <w:abstractNumId w:val="13"/>
  </w:num>
  <w:num w:numId="31">
    <w:abstractNumId w:val="18"/>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7DD"/>
    <w:rsid w:val="00017C1C"/>
    <w:rsid w:val="001F77DD"/>
    <w:rsid w:val="00524C4C"/>
    <w:rsid w:val="00701BD1"/>
    <w:rsid w:val="007E3796"/>
    <w:rsid w:val="00D97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27AD0"/>
  <w15:docId w15:val="{29777955-21BF-4618-AA5E-E5BBAE0BD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1"/>
    <w:uiPriority w:val="9"/>
    <w:qFormat/>
    <w:pPr>
      <w:keepNext/>
      <w:numPr>
        <w:numId w:val="1"/>
      </w:numPr>
      <w:spacing w:before="240" w:after="60" w:line="240" w:lineRule="auto"/>
      <w:jc w:val="both"/>
      <w:outlineLvl w:val="0"/>
    </w:pPr>
    <w:rPr>
      <w:rFonts w:ascii="Arial" w:eastAsia="Calibri" w:hAnsi="Arial" w:cs="Arial"/>
      <w:b/>
      <w:bCs/>
      <w:sz w:val="24"/>
      <w:szCs w:val="32"/>
    </w:rPr>
  </w:style>
  <w:style w:type="paragraph" w:styleId="Heading2">
    <w:name w:val="heading 2"/>
    <w:basedOn w:val="Normal"/>
    <w:next w:val="Normal"/>
    <w:link w:val="Heading2Char"/>
    <w:uiPriority w:val="9"/>
    <w:qFormat/>
    <w:pPr>
      <w:keepNext/>
      <w:numPr>
        <w:ilvl w:val="1"/>
        <w:numId w:val="1"/>
      </w:numPr>
      <w:spacing w:before="240" w:after="60" w:line="240" w:lineRule="auto"/>
      <w:jc w:val="both"/>
      <w:outlineLvl w:val="1"/>
    </w:pPr>
    <w:rPr>
      <w:rFonts w:ascii="Arial" w:eastAsia="Calibri" w:hAnsi="Arial" w:cs="Arial"/>
      <w:b/>
      <w:bCs/>
      <w:i/>
      <w:iCs/>
      <w:sz w:val="28"/>
      <w:szCs w:val="28"/>
    </w:rPr>
  </w:style>
  <w:style w:type="paragraph" w:styleId="Heading3">
    <w:name w:val="heading 3"/>
    <w:basedOn w:val="Normal"/>
    <w:next w:val="Normal"/>
    <w:link w:val="Heading3Char"/>
    <w:uiPriority w:val="9"/>
    <w:qFormat/>
    <w:pPr>
      <w:keepNext/>
      <w:numPr>
        <w:ilvl w:val="2"/>
        <w:numId w:val="1"/>
      </w:numPr>
      <w:spacing w:before="240" w:after="60" w:line="240" w:lineRule="auto"/>
      <w:jc w:val="both"/>
      <w:outlineLvl w:val="2"/>
    </w:pPr>
    <w:rPr>
      <w:rFonts w:ascii="Arial" w:eastAsia="Calibri" w:hAnsi="Arial" w:cs="Arial"/>
      <w:b/>
      <w:bCs/>
      <w:sz w:val="26"/>
      <w:szCs w:val="26"/>
    </w:rPr>
  </w:style>
  <w:style w:type="paragraph" w:styleId="Heading4">
    <w:name w:val="heading 4"/>
    <w:basedOn w:val="Normal"/>
    <w:next w:val="Normal"/>
    <w:link w:val="Heading4Char"/>
    <w:uiPriority w:val="9"/>
    <w:qFormat/>
    <w:pPr>
      <w:keepNext/>
      <w:numPr>
        <w:ilvl w:val="3"/>
        <w:numId w:val="1"/>
      </w:numPr>
      <w:spacing w:after="0" w:line="240" w:lineRule="auto"/>
      <w:jc w:val="center"/>
      <w:outlineLvl w:val="3"/>
    </w:pPr>
    <w:rPr>
      <w:rFonts w:ascii="Times New Roman" w:eastAsia="Calibri" w:hAnsi="Times New Roman" w:cs="Times New Roman"/>
      <w:sz w:val="32"/>
      <w:szCs w:val="24"/>
      <w:lang w:val="sr-Latn-CS"/>
    </w:rPr>
  </w:style>
  <w:style w:type="paragraph" w:styleId="Heading5">
    <w:name w:val="heading 5"/>
    <w:basedOn w:val="Normal"/>
    <w:next w:val="Normal"/>
    <w:link w:val="Heading5Char"/>
    <w:uiPriority w:val="9"/>
    <w:qFormat/>
    <w:pPr>
      <w:numPr>
        <w:ilvl w:val="4"/>
        <w:numId w:val="1"/>
      </w:numPr>
      <w:spacing w:before="240" w:after="60" w:line="240" w:lineRule="auto"/>
      <w:jc w:val="both"/>
      <w:outlineLvl w:val="4"/>
    </w:pPr>
    <w:rPr>
      <w:rFonts w:ascii="Times New Roman" w:eastAsia="Calibri" w:hAnsi="Times New Roman" w:cs="Times New Roman"/>
      <w:b/>
      <w:bCs/>
      <w:i/>
      <w:iCs/>
      <w:sz w:val="26"/>
      <w:szCs w:val="26"/>
    </w:rPr>
  </w:style>
  <w:style w:type="paragraph" w:styleId="Heading6">
    <w:name w:val="heading 6"/>
    <w:basedOn w:val="Normal"/>
    <w:next w:val="Normal"/>
    <w:link w:val="Heading6Char"/>
    <w:uiPriority w:val="9"/>
    <w:qFormat/>
    <w:pPr>
      <w:numPr>
        <w:ilvl w:val="5"/>
        <w:numId w:val="1"/>
      </w:numPr>
      <w:spacing w:before="240" w:after="60" w:line="240" w:lineRule="auto"/>
      <w:jc w:val="both"/>
      <w:outlineLvl w:val="5"/>
    </w:pPr>
    <w:rPr>
      <w:rFonts w:ascii="Times New Roman" w:eastAsia="Calibri" w:hAnsi="Times New Roman" w:cs="Times New Roman"/>
      <w:b/>
      <w:bCs/>
    </w:rPr>
  </w:style>
  <w:style w:type="paragraph" w:styleId="Heading7">
    <w:name w:val="heading 7"/>
    <w:basedOn w:val="Normal"/>
    <w:next w:val="Normal"/>
    <w:link w:val="Heading7Char"/>
    <w:uiPriority w:val="99"/>
    <w:qFormat/>
    <w:pPr>
      <w:numPr>
        <w:ilvl w:val="6"/>
        <w:numId w:val="1"/>
      </w:numPr>
      <w:spacing w:before="240" w:after="60" w:line="240" w:lineRule="auto"/>
      <w:jc w:val="both"/>
      <w:outlineLvl w:val="6"/>
    </w:pPr>
    <w:rPr>
      <w:rFonts w:ascii="Times New Roman" w:eastAsia="Calibri" w:hAnsi="Times New Roman" w:cs="Times New Roman"/>
      <w:sz w:val="24"/>
      <w:szCs w:val="24"/>
    </w:rPr>
  </w:style>
  <w:style w:type="paragraph" w:styleId="Heading8">
    <w:name w:val="heading 8"/>
    <w:basedOn w:val="Normal"/>
    <w:next w:val="Normal"/>
    <w:link w:val="Heading8Char"/>
    <w:uiPriority w:val="99"/>
    <w:qFormat/>
    <w:pPr>
      <w:numPr>
        <w:ilvl w:val="7"/>
        <w:numId w:val="1"/>
      </w:numPr>
      <w:spacing w:before="240" w:after="60" w:line="240" w:lineRule="auto"/>
      <w:jc w:val="both"/>
      <w:outlineLvl w:val="7"/>
    </w:pPr>
    <w:rPr>
      <w:rFonts w:ascii="Times New Roman" w:eastAsia="Calibri" w:hAnsi="Times New Roman" w:cs="Times New Roman"/>
      <w:i/>
      <w:iCs/>
      <w:sz w:val="24"/>
      <w:szCs w:val="24"/>
    </w:rPr>
  </w:style>
  <w:style w:type="paragraph" w:styleId="Heading9">
    <w:name w:val="heading 9"/>
    <w:basedOn w:val="Normal"/>
    <w:next w:val="Normal"/>
    <w:link w:val="Heading9Char"/>
    <w:uiPriority w:val="99"/>
    <w:qFormat/>
    <w:pPr>
      <w:numPr>
        <w:ilvl w:val="8"/>
        <w:numId w:val="1"/>
      </w:numPr>
      <w:spacing w:before="240" w:after="60" w:line="240" w:lineRule="auto"/>
      <w:jc w:val="both"/>
      <w:outlineLvl w:val="8"/>
    </w:pPr>
    <w:rPr>
      <w:rFonts w:ascii="Arial" w:eastAsia="Calibri"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sr-Latn-BA" w:eastAsia="sr-Latn-BA"/>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sr-Latn-BA" w:eastAsia="sr-Latn-BA"/>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sr-Latn-BA" w:eastAsia="sr-Latn-BA"/>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sr-Latn-BA" w:eastAsia="sr-Latn-BA"/>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sr-Latn-BA" w:eastAsia="sr-Latn-BA"/>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sr-Latn-BA" w:eastAsia="sr-Latn-BA"/>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sr-Latn-BA" w:eastAsia="sr-Latn-BA"/>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sr-Latn-BA" w:eastAsia="sr-Latn-B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sr-Latn-BA" w:eastAsia="sr-Latn-BA"/>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sr-Latn-BA" w:eastAsia="sr-Latn-BA"/>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sr-Latn-BA" w:eastAsia="sr-Latn-BA"/>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sr-Latn-BA" w:eastAsia="sr-Latn-BA"/>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sr-Latn-BA" w:eastAsia="sr-Latn-BA"/>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sr-Latn-BA" w:eastAsia="sr-Latn-BA"/>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TableofFigures">
    <w:name w:val="table of figures"/>
    <w:basedOn w:val="Normal"/>
    <w:next w:val="Normal"/>
    <w:uiPriority w:val="99"/>
    <w:unhideWhenUsed/>
    <w:pPr>
      <w:spacing w:after="0"/>
    </w:pPr>
  </w:style>
  <w:style w:type="character" w:customStyle="1" w:styleId="Heading1Char">
    <w:name w:val="Heading 1 Char"/>
    <w:basedOn w:val="DefaultParagraphFont"/>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Arial" w:eastAsia="Calibri" w:hAnsi="Arial" w:cs="Arial"/>
      <w:b/>
      <w:bCs/>
      <w:i/>
      <w:iCs/>
      <w:sz w:val="28"/>
      <w:szCs w:val="28"/>
    </w:rPr>
  </w:style>
  <w:style w:type="character" w:customStyle="1" w:styleId="Heading3Char">
    <w:name w:val="Heading 3 Char"/>
    <w:basedOn w:val="DefaultParagraphFont"/>
    <w:link w:val="Heading3"/>
    <w:uiPriority w:val="9"/>
    <w:rPr>
      <w:rFonts w:ascii="Arial" w:eastAsia="Calibri" w:hAnsi="Arial" w:cs="Arial"/>
      <w:b/>
      <w:bCs/>
      <w:sz w:val="26"/>
      <w:szCs w:val="26"/>
    </w:rPr>
  </w:style>
  <w:style w:type="character" w:customStyle="1" w:styleId="Heading4Char">
    <w:name w:val="Heading 4 Char"/>
    <w:basedOn w:val="DefaultParagraphFont"/>
    <w:link w:val="Heading4"/>
    <w:uiPriority w:val="9"/>
    <w:rPr>
      <w:rFonts w:ascii="Times New Roman" w:eastAsia="Calibri" w:hAnsi="Times New Roman" w:cs="Times New Roman"/>
      <w:sz w:val="32"/>
      <w:szCs w:val="24"/>
      <w:lang w:val="sr-Latn-CS"/>
    </w:rPr>
  </w:style>
  <w:style w:type="character" w:customStyle="1" w:styleId="Heading5Char">
    <w:name w:val="Heading 5 Char"/>
    <w:basedOn w:val="DefaultParagraphFont"/>
    <w:link w:val="Heading5"/>
    <w:uiPriority w:val="9"/>
    <w:rPr>
      <w:rFonts w:ascii="Times New Roman" w:eastAsia="Calibri" w:hAnsi="Times New Roman" w:cs="Times New Roman"/>
      <w:b/>
      <w:bCs/>
      <w:i/>
      <w:iCs/>
      <w:sz w:val="26"/>
      <w:szCs w:val="26"/>
    </w:rPr>
  </w:style>
  <w:style w:type="character" w:customStyle="1" w:styleId="Heading6Char">
    <w:name w:val="Heading 6 Char"/>
    <w:basedOn w:val="DefaultParagraphFont"/>
    <w:link w:val="Heading6"/>
    <w:uiPriority w:val="9"/>
    <w:rPr>
      <w:rFonts w:ascii="Times New Roman" w:eastAsia="Calibri" w:hAnsi="Times New Roman" w:cs="Times New Roman"/>
      <w:b/>
      <w:bCs/>
    </w:rPr>
  </w:style>
  <w:style w:type="character" w:customStyle="1" w:styleId="Heading7Char">
    <w:name w:val="Heading 7 Char"/>
    <w:basedOn w:val="DefaultParagraphFont"/>
    <w:link w:val="Heading7"/>
    <w:uiPriority w:val="99"/>
    <w:rPr>
      <w:rFonts w:ascii="Times New Roman" w:eastAsia="Calibri" w:hAnsi="Times New Roman" w:cs="Times New Roman"/>
      <w:sz w:val="24"/>
      <w:szCs w:val="24"/>
    </w:rPr>
  </w:style>
  <w:style w:type="character" w:customStyle="1" w:styleId="Heading8Char">
    <w:name w:val="Heading 8 Char"/>
    <w:basedOn w:val="DefaultParagraphFont"/>
    <w:link w:val="Heading8"/>
    <w:uiPriority w:val="99"/>
    <w:rPr>
      <w:rFonts w:ascii="Times New Roman" w:eastAsia="Calibri" w:hAnsi="Times New Roman" w:cs="Times New Roman"/>
      <w:i/>
      <w:iCs/>
      <w:sz w:val="24"/>
      <w:szCs w:val="24"/>
    </w:rPr>
  </w:style>
  <w:style w:type="character" w:customStyle="1" w:styleId="Heading9Char">
    <w:name w:val="Heading 9 Char"/>
    <w:basedOn w:val="DefaultParagraphFont"/>
    <w:link w:val="Heading9"/>
    <w:uiPriority w:val="99"/>
    <w:rPr>
      <w:rFonts w:ascii="Arial" w:eastAsia="Calibri" w:hAnsi="Arial" w:cs="Arial"/>
    </w:rPr>
  </w:style>
  <w:style w:type="numbering" w:customStyle="1" w:styleId="NoList1">
    <w:name w:val="No List1"/>
    <w:next w:val="NoList"/>
    <w:uiPriority w:val="99"/>
    <w:semiHidden/>
    <w:unhideWhenUsed/>
  </w:style>
  <w:style w:type="paragraph" w:styleId="BalloonText">
    <w:name w:val="Balloon Text"/>
    <w:basedOn w:val="Normal"/>
    <w:link w:val="BalloonTextChar"/>
    <w:uiPriority w:val="99"/>
    <w:semiHidden/>
    <w:pPr>
      <w:spacing w:after="0" w:line="240" w:lineRule="auto"/>
    </w:pPr>
    <w:rPr>
      <w:rFonts w:ascii="Tahoma" w:eastAsia="Calibri" w:hAnsi="Tahoma" w:cs="Tahoma"/>
      <w:sz w:val="16"/>
      <w:szCs w:val="16"/>
      <w:lang w:val="bs-Latn-BA"/>
    </w:rPr>
  </w:style>
  <w:style w:type="character" w:customStyle="1" w:styleId="BalloonTextChar">
    <w:name w:val="Balloon Text Char"/>
    <w:basedOn w:val="DefaultParagraphFont"/>
    <w:link w:val="BalloonText"/>
    <w:uiPriority w:val="99"/>
    <w:semiHidden/>
    <w:rPr>
      <w:rFonts w:ascii="Tahoma" w:eastAsia="Calibri" w:hAnsi="Tahoma" w:cs="Tahoma"/>
      <w:sz w:val="16"/>
      <w:szCs w:val="16"/>
      <w:lang w:val="bs-Latn-BA"/>
    </w:rPr>
  </w:style>
  <w:style w:type="paragraph" w:styleId="Header">
    <w:name w:val="header"/>
    <w:basedOn w:val="Normal"/>
    <w:link w:val="HeaderChar"/>
    <w:uiPriority w:val="99"/>
    <w:pPr>
      <w:tabs>
        <w:tab w:val="center" w:pos="4536"/>
        <w:tab w:val="right" w:pos="9072"/>
      </w:tabs>
      <w:spacing w:after="0" w:line="240" w:lineRule="auto"/>
    </w:pPr>
    <w:rPr>
      <w:rFonts w:ascii="Calibri" w:eastAsia="Calibri" w:hAnsi="Calibri" w:cs="Times New Roman"/>
      <w:lang w:val="bs-Latn-BA"/>
    </w:rPr>
  </w:style>
  <w:style w:type="character" w:customStyle="1" w:styleId="HeaderChar">
    <w:name w:val="Header Char"/>
    <w:basedOn w:val="DefaultParagraphFont"/>
    <w:link w:val="Header"/>
    <w:uiPriority w:val="99"/>
    <w:rPr>
      <w:rFonts w:ascii="Calibri" w:eastAsia="Calibri" w:hAnsi="Calibri" w:cs="Times New Roman"/>
      <w:lang w:val="bs-Latn-BA"/>
    </w:rPr>
  </w:style>
  <w:style w:type="paragraph" w:styleId="Footer">
    <w:name w:val="footer"/>
    <w:basedOn w:val="Normal"/>
    <w:link w:val="FooterChar"/>
    <w:uiPriority w:val="99"/>
    <w:pPr>
      <w:tabs>
        <w:tab w:val="center" w:pos="4536"/>
        <w:tab w:val="right" w:pos="9072"/>
      </w:tabs>
      <w:spacing w:after="0" w:line="240" w:lineRule="auto"/>
    </w:pPr>
    <w:rPr>
      <w:rFonts w:ascii="Calibri" w:eastAsia="Calibri" w:hAnsi="Calibri" w:cs="Times New Roman"/>
      <w:lang w:val="bs-Latn-BA"/>
    </w:rPr>
  </w:style>
  <w:style w:type="character" w:customStyle="1" w:styleId="FooterChar">
    <w:name w:val="Footer Char"/>
    <w:basedOn w:val="DefaultParagraphFont"/>
    <w:link w:val="Footer"/>
    <w:uiPriority w:val="99"/>
    <w:rPr>
      <w:rFonts w:ascii="Calibri" w:eastAsia="Calibri" w:hAnsi="Calibri" w:cs="Times New Roman"/>
      <w:lang w:val="bs-Latn-BA"/>
    </w:rPr>
  </w:style>
  <w:style w:type="character" w:customStyle="1" w:styleId="Heading1Char1">
    <w:name w:val="Heading 1 Char1"/>
    <w:basedOn w:val="DefaultParagraphFont"/>
    <w:link w:val="Heading1"/>
    <w:uiPriority w:val="9"/>
    <w:rPr>
      <w:rFonts w:ascii="Arial" w:eastAsia="Calibri" w:hAnsi="Arial" w:cs="Arial"/>
      <w:b/>
      <w:bCs/>
      <w:sz w:val="24"/>
      <w:szCs w:val="32"/>
    </w:rPr>
  </w:style>
  <w:style w:type="table" w:styleId="TableGrid">
    <w:name w:val="Table Grid"/>
    <w:basedOn w:val="TableNormal"/>
    <w:uiPriority w:val="39"/>
    <w:pPr>
      <w:spacing w:after="0" w:line="240" w:lineRule="auto"/>
    </w:pPr>
    <w:rPr>
      <w:rFonts w:ascii="Calibri" w:eastAsia="Calibri" w:hAnsi="Calibri" w:cs="Times New Roman"/>
      <w:sz w:val="20"/>
      <w:szCs w:val="20"/>
      <w:lang w:val="bs-Latn-BA" w:eastAsia="bs-Latn-B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Pr>
      <w:color w:val="0000FF"/>
      <w:u w:val="single"/>
    </w:rPr>
  </w:style>
  <w:style w:type="character" w:styleId="Emphasis">
    <w:name w:val="Emphasis"/>
    <w:basedOn w:val="DefaultParagraphFont"/>
    <w:qFormat/>
    <w:rPr>
      <w:i/>
      <w:iCs/>
    </w:rPr>
  </w:style>
  <w:style w:type="paragraph" w:customStyle="1" w:styleId="Tekst">
    <w:name w:val="Tekst"/>
    <w:basedOn w:val="Normal"/>
    <w:link w:val="TekstChar"/>
    <w:qFormat/>
    <w:pPr>
      <w:spacing w:after="120"/>
      <w:ind w:firstLine="706"/>
      <w:jc w:val="both"/>
    </w:pPr>
    <w:rPr>
      <w:rFonts w:ascii="Arial" w:eastAsia="Calibri" w:hAnsi="Arial" w:cs="Times New Roman"/>
      <w:sz w:val="24"/>
      <w:lang w:val="bs-Latn-BA"/>
    </w:rPr>
  </w:style>
  <w:style w:type="character" w:customStyle="1" w:styleId="TekstChar">
    <w:name w:val="Tekst Char"/>
    <w:basedOn w:val="DefaultParagraphFont"/>
    <w:link w:val="Tekst"/>
    <w:rPr>
      <w:rFonts w:ascii="Arial" w:eastAsia="Calibri" w:hAnsi="Arial" w:cs="Times New Roman"/>
      <w:sz w:val="24"/>
      <w:lang w:val="bs-Latn-BA"/>
    </w:rPr>
  </w:style>
  <w:style w:type="character" w:styleId="PlaceholderText">
    <w:name w:val="Placeholder Text"/>
    <w:basedOn w:val="DefaultParagraphFont"/>
    <w:uiPriority w:val="99"/>
    <w:semiHidden/>
    <w:rPr>
      <w:color w:val="808080"/>
    </w:rPr>
  </w:style>
  <w:style w:type="character" w:customStyle="1" w:styleId="Style4">
    <w:name w:val="Style4"/>
    <w:basedOn w:val="DefaultParagraphFont"/>
    <w:uiPriority w:val="1"/>
    <w:rPr>
      <w:rFonts w:ascii="Arial" w:hAnsi="Arial" w:cs="Arial" w:hint="default"/>
      <w:sz w:val="22"/>
    </w:rPr>
  </w:style>
  <w:style w:type="character" w:customStyle="1" w:styleId="Style1">
    <w:name w:val="Style1"/>
    <w:basedOn w:val="DefaultParagraphFont"/>
    <w:uiPriority w:val="1"/>
    <w:rPr>
      <w:rFonts w:ascii="Arial" w:hAnsi="Arial" w:cs="Arial" w:hint="default"/>
      <w:b/>
      <w:bCs w:val="0"/>
      <w:sz w:val="24"/>
    </w:rPr>
  </w:style>
  <w:style w:type="character" w:customStyle="1" w:styleId="Style2">
    <w:name w:val="Style2"/>
    <w:basedOn w:val="DefaultParagraphFont"/>
    <w:uiPriority w:val="1"/>
    <w:rPr>
      <w:rFonts w:ascii="Arial" w:hAnsi="Arial" w:cs="Arial" w:hint="default"/>
      <w:sz w:val="22"/>
    </w:rPr>
  </w:style>
  <w:style w:type="character" w:customStyle="1" w:styleId="Style3">
    <w:name w:val="Style3"/>
    <w:basedOn w:val="DefaultParagraphFont"/>
    <w:uiPriority w:val="1"/>
    <w:rPr>
      <w:rFonts w:ascii="Arial" w:hAnsi="Arial"/>
      <w:sz w:val="22"/>
    </w:rPr>
  </w:style>
  <w:style w:type="character" w:customStyle="1" w:styleId="Style5">
    <w:name w:val="Style5"/>
    <w:basedOn w:val="DefaultParagraphFont"/>
    <w:uiPriority w:val="1"/>
    <w:rPr>
      <w:rFonts w:ascii="Arial" w:hAnsi="Arial"/>
      <w:sz w:val="22"/>
    </w:rPr>
  </w:style>
  <w:style w:type="paragraph" w:styleId="ListParagraph">
    <w:name w:val="List Paragraph"/>
    <w:basedOn w:val="Normal"/>
    <w:uiPriority w:val="34"/>
    <w:qFormat/>
    <w:pPr>
      <w:ind w:left="720"/>
      <w:contextualSpacing/>
    </w:pPr>
    <w:rPr>
      <w:rFonts w:ascii="Calibri" w:eastAsia="Calibri" w:hAnsi="Calibri" w:cs="Times New Roman"/>
      <w:lang w:val="bs-Latn-BA"/>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rPr>
  </w:style>
  <w:style w:type="character" w:customStyle="1" w:styleId="y2iqfc">
    <w:name w:val="y2iqfc"/>
    <w:basedOn w:val="DefaultParagraphFont"/>
  </w:style>
  <w:style w:type="character" w:styleId="Strong">
    <w:name w:val="Strong"/>
    <w:basedOn w:val="DefaultParagraphFont"/>
    <w:uiPriority w:val="22"/>
    <w:qFormat/>
    <w:rPr>
      <w:b/>
      <w:bCs/>
    </w:rPr>
  </w:style>
  <w:style w:type="paragraph" w:customStyle="1" w:styleId="v1v2msonormal">
    <w:name w:val="v1v2msonormal"/>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table" w:customStyle="1" w:styleId="TableNormal1">
    <w:name w:val="Table Normal1"/>
    <w:rPr>
      <w:rFonts w:ascii="Calibri" w:eastAsia="Calibri" w:hAnsi="Calibri" w:cs="Calibri"/>
      <w:sz w:val="20"/>
      <w:szCs w:val="20"/>
      <w:lang w:val="sr-Latn-BA" w:eastAsia="hr-BA"/>
    </w:rPr>
    <w:tblPr>
      <w:tblCellMar>
        <w:top w:w="0" w:type="dxa"/>
        <w:left w:w="0" w:type="dxa"/>
        <w:bottom w:w="0" w:type="dxa"/>
        <w:right w:w="0" w:type="dxa"/>
      </w:tblCellMar>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lang w:val="sr-Latn-BA"/>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sz w:val="52"/>
      <w:szCs w:val="52"/>
      <w:lang w:val="sr-Latn-BA"/>
    </w:rPr>
  </w:style>
  <w:style w:type="paragraph" w:styleId="NoSpacing">
    <w:name w:val="No Spacing"/>
    <w:link w:val="NoSpacingChar"/>
    <w:uiPriority w:val="1"/>
    <w:qFormat/>
    <w:rPr>
      <w:rFonts w:eastAsiaTheme="minorEastAsia"/>
      <w:lang w:eastAsia="ja-JP"/>
    </w:rPr>
  </w:style>
  <w:style w:type="character" w:customStyle="1" w:styleId="NoSpacingChar">
    <w:name w:val="No Spacing Char"/>
    <w:basedOn w:val="DefaultParagraphFont"/>
    <w:link w:val="NoSpacing"/>
    <w:uiPriority w:val="1"/>
    <w:rPr>
      <w:rFonts w:eastAsiaTheme="minorEastAsia"/>
      <w:lang w:eastAsia="ja-JP"/>
    </w:rPr>
  </w:style>
  <w:style w:type="paragraph" w:styleId="TOCHeading">
    <w:name w:val="TOC Heading"/>
    <w:basedOn w:val="Heading1"/>
    <w:next w:val="Normal"/>
    <w:uiPriority w:val="39"/>
    <w:unhideWhenUsed/>
    <w:qFormat/>
    <w:pPr>
      <w:keepLines/>
      <w:numPr>
        <w:numId w:val="0"/>
      </w:numPr>
      <w:spacing w:before="480" w:after="0" w:line="276" w:lineRule="auto"/>
      <w:jc w:val="left"/>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uiPriority w:val="39"/>
    <w:pPr>
      <w:tabs>
        <w:tab w:val="left" w:pos="440"/>
        <w:tab w:val="right" w:leader="dot" w:pos="9214"/>
      </w:tabs>
      <w:spacing w:after="100"/>
    </w:pPr>
    <w:rPr>
      <w:rFonts w:ascii="Arial" w:eastAsia="Calibri" w:hAnsi="Arial" w:cs="Arial"/>
      <w:b/>
      <w:lang w:val="sr-Latn-BA" w:eastAsia="de-DE"/>
    </w:rPr>
  </w:style>
  <w:style w:type="paragraph" w:styleId="TOC2">
    <w:name w:val="toc 2"/>
    <w:basedOn w:val="Normal"/>
    <w:next w:val="Normal"/>
    <w:uiPriority w:val="39"/>
    <w:pPr>
      <w:tabs>
        <w:tab w:val="left" w:pos="880"/>
        <w:tab w:val="right" w:leader="dot" w:pos="9214"/>
      </w:tabs>
      <w:spacing w:after="100"/>
      <w:ind w:left="220"/>
    </w:pPr>
    <w:rPr>
      <w:rFonts w:ascii="Arial" w:eastAsia="Calibri" w:hAnsi="Arial" w:cs="Arial"/>
      <w:i/>
      <w:lang w:val="sr-Latn-BA" w:eastAsia="de-DE"/>
    </w:rPr>
  </w:style>
  <w:style w:type="character" w:styleId="FootnoteReference">
    <w:name w:val="footnote reference"/>
    <w:basedOn w:val="DefaultParagraphFont"/>
    <w:uiPriority w:val="99"/>
    <w:semiHidden/>
    <w:unhideWhenUsed/>
    <w:rPr>
      <w:vertAlign w:val="superscript"/>
    </w:rPr>
  </w:style>
  <w:style w:type="numbering" w:customStyle="1" w:styleId="NoList11">
    <w:name w:val="No List11"/>
    <w:next w:val="NoList"/>
    <w:uiPriority w:val="99"/>
    <w:semiHidden/>
    <w:unhideWhenUsed/>
  </w:style>
  <w:style w:type="character" w:customStyle="1" w:styleId="InternetLink">
    <w:name w:val="Internet Link"/>
    <w:basedOn w:val="DefaultParagraphFont"/>
    <w:uiPriority w:val="99"/>
    <w:unhideWhenUsed/>
    <w:rPr>
      <w:color w:val="0000FF"/>
      <w:u w:val="single"/>
    </w:rPr>
  </w:style>
  <w:style w:type="character" w:customStyle="1" w:styleId="ListLabel1">
    <w:name w:val="ListLabel 1"/>
    <w:rPr>
      <w:rFonts w:cs="Courier New"/>
    </w:rPr>
  </w:style>
  <w:style w:type="character" w:customStyle="1" w:styleId="ListLabel2">
    <w:name w:val="ListLabel 2"/>
    <w:rPr>
      <w:rFonts w:cs="Arial"/>
    </w:rPr>
  </w:style>
  <w:style w:type="character" w:customStyle="1" w:styleId="ListLabel3">
    <w:name w:val="ListLabel 3"/>
    <w:rPr>
      <w:rFonts w:cs="Arial"/>
      <w:b w:val="0"/>
    </w:rPr>
  </w:style>
  <w:style w:type="paragraph" w:customStyle="1" w:styleId="Heading">
    <w:name w:val="Heading"/>
    <w:basedOn w:val="Normal"/>
    <w:next w:val="TextBody"/>
    <w:pPr>
      <w:keepNext/>
      <w:spacing w:before="240" w:after="120"/>
    </w:pPr>
    <w:rPr>
      <w:rFonts w:ascii="Liberation Sans" w:eastAsia="Droid Sans Fallback" w:hAnsi="Liberation Sans" w:cs="FreeSans"/>
      <w:sz w:val="28"/>
      <w:szCs w:val="28"/>
    </w:rPr>
  </w:style>
  <w:style w:type="paragraph" w:customStyle="1" w:styleId="TextBody">
    <w:name w:val="Text Body"/>
    <w:basedOn w:val="Normal"/>
    <w:pPr>
      <w:spacing w:after="140" w:line="288" w:lineRule="auto"/>
    </w:pPr>
    <w:rPr>
      <w:rFonts w:ascii="Calibri" w:eastAsia="Droid Sans Fallback" w:hAnsi="Calibri" w:cs="Calibri"/>
    </w:rPr>
  </w:style>
  <w:style w:type="paragraph" w:styleId="List">
    <w:name w:val="List"/>
    <w:basedOn w:val="TextBody"/>
    <w:rPr>
      <w:rFonts w:cs="FreeSans"/>
    </w:rPr>
  </w:style>
  <w:style w:type="paragraph" w:styleId="Caption">
    <w:name w:val="caption"/>
    <w:basedOn w:val="Normal"/>
    <w:pPr>
      <w:suppressLineNumbers/>
      <w:spacing w:before="120" w:after="120"/>
    </w:pPr>
    <w:rPr>
      <w:rFonts w:ascii="Calibri" w:eastAsia="Droid Sans Fallback" w:hAnsi="Calibri" w:cs="FreeSans"/>
      <w:i/>
      <w:iCs/>
      <w:sz w:val="24"/>
      <w:szCs w:val="24"/>
    </w:rPr>
  </w:style>
  <w:style w:type="paragraph" w:customStyle="1" w:styleId="Index">
    <w:name w:val="Index"/>
    <w:basedOn w:val="Normal"/>
    <w:pPr>
      <w:suppressLineNumbers/>
    </w:pPr>
    <w:rPr>
      <w:rFonts w:ascii="Calibri" w:eastAsia="Droid Sans Fallback" w:hAnsi="Calibri" w:cs="FreeSans"/>
    </w:rPr>
  </w:style>
  <w:style w:type="paragraph" w:customStyle="1" w:styleId="TableContents">
    <w:name w:val="Table Contents"/>
    <w:basedOn w:val="Normal"/>
    <w:rPr>
      <w:rFonts w:ascii="Calibri" w:eastAsia="Droid Sans Fallback" w:hAnsi="Calibri" w:cs="Calibri"/>
    </w:rPr>
  </w:style>
  <w:style w:type="paragraph" w:customStyle="1" w:styleId="TableHeading">
    <w:name w:val="Table Heading"/>
    <w:basedOn w:val="TableContents"/>
  </w:style>
  <w:style w:type="table" w:customStyle="1" w:styleId="TableGrid1">
    <w:name w:val="Table Grid1"/>
    <w:basedOn w:val="TableNormal"/>
    <w:next w:val="TableGrid"/>
    <w:uiPriority w:val="59"/>
    <w:rPr>
      <w:rFonts w:ascii="Calibri" w:eastAsia="Droid Sans Fallback"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rFonts w:ascii="Calibri" w:eastAsia="Calibri" w:hAnsi="Calibri" w:cs="Calibri"/>
      <w:sz w:val="20"/>
      <w:szCs w:val="20"/>
      <w:lang w:val="sr-Latn-BA"/>
    </w:rPr>
  </w:style>
  <w:style w:type="character" w:customStyle="1" w:styleId="CommentTextChar">
    <w:name w:val="Comment Text Char"/>
    <w:basedOn w:val="DefaultParagraphFont"/>
    <w:link w:val="CommentText"/>
    <w:uiPriority w:val="99"/>
    <w:semiHidden/>
    <w:rPr>
      <w:rFonts w:ascii="Calibri" w:eastAsia="Calibri" w:hAnsi="Calibri" w:cs="Calibri"/>
      <w:sz w:val="20"/>
      <w:szCs w:val="20"/>
      <w:lang w:val="sr-Latn-BA"/>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Calibri" w:hAnsi="Calibri" w:cs="Calibri"/>
      <w:b/>
      <w:bCs/>
      <w:sz w:val="20"/>
      <w:szCs w:val="20"/>
      <w:lang w:val="sr-Latn-BA"/>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lang w:val="sr-Latn-BA"/>
    </w:rPr>
  </w:style>
  <w:style w:type="character" w:customStyle="1" w:styleId="SubtitleChar">
    <w:name w:val="Subtitle Char"/>
    <w:basedOn w:val="DefaultParagraphFont"/>
    <w:link w:val="Subtitle"/>
    <w:uiPriority w:val="11"/>
    <w:rPr>
      <w:rFonts w:ascii="Georgia" w:eastAsia="Georgia" w:hAnsi="Georgia" w:cs="Georgia"/>
      <w:i/>
      <w:color w:val="666666"/>
      <w:sz w:val="48"/>
      <w:szCs w:val="48"/>
      <w:lang w:val="sr-Latn-BA"/>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style>
  <w:style w:type="paragraph" w:styleId="TOC3">
    <w:name w:val="toc 3"/>
    <w:basedOn w:val="Normal"/>
    <w:next w:val="Normal"/>
    <w:uiPriority w:val="39"/>
    <w:unhideWhenUsed/>
    <w:pPr>
      <w:spacing w:after="100" w:line="259" w:lineRule="auto"/>
      <w:ind w:left="440"/>
    </w:pPr>
    <w:rPr>
      <w:rFonts w:eastAsiaTheme="minorEastAsia" w:cs="Times New Roman"/>
    </w:rPr>
  </w:style>
  <w:style w:type="character" w:styleId="FollowedHyperlink">
    <w:name w:val="FollowedHyperlink"/>
    <w:basedOn w:val="DefaultParagraphFont"/>
    <w:uiPriority w:val="99"/>
    <w:semiHidden/>
    <w:unhideWhenUsed/>
    <w:rPr>
      <w:color w:val="800080" w:themeColor="followedHyperlink"/>
      <w:u w:val="single"/>
    </w:rPr>
  </w:style>
  <w:style w:type="paragraph" w:styleId="ListBullet">
    <w:name w:val="List Bullet"/>
    <w:basedOn w:val="Normal"/>
    <w:uiPriority w:val="99"/>
    <w:unhideWhenUsed/>
    <w:pPr>
      <w:numPr>
        <w:numId w:val="32"/>
      </w:numPr>
      <w:contextualSpacing/>
    </w:pPr>
    <w:rPr>
      <w:rFonts w:ascii="Calibri" w:eastAsiaTheme="minorEastAsia" w:hAnsi="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eufordigital.eu/library/2030-digital-compass-the-european-way-for-the-digital-deca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microsoft.com/office/2016/09/relationships/commentsIds" Target="commentsIds.xml"/></Relationships>
</file>

<file path=word/_rels/footer2.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4.jpg"/><Relationship Id="rId1" Type="http://schemas.openxmlformats.org/officeDocument/2006/relationships/image" Target="media/image5.jpg"/><Relationship Id="rId4" Type="http://schemas.openxmlformats.org/officeDocument/2006/relationships/image" Target="media/image5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2F90B-224D-4E84-9CEE-4B7851558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55</Pages>
  <Words>19795</Words>
  <Characters>112835</Characters>
  <Application>Microsoft Office Word</Application>
  <DocSecurity>0</DocSecurity>
  <Lines>940</Lines>
  <Paragraphs>264</Paragraphs>
  <ScaleCrop>false</ScaleCrop>
  <HeadingPairs>
    <vt:vector size="2" baseType="variant">
      <vt:variant>
        <vt:lpstr>Title</vt:lpstr>
      </vt:variant>
      <vt:variant>
        <vt:i4>1</vt:i4>
      </vt:variant>
    </vt:vector>
  </HeadingPairs>
  <TitlesOfParts>
    <vt:vector size="1" baseType="lpstr">
      <vt:lpstr>Strategija Agencije - prijedlog.docx</vt:lpstr>
    </vt:vector>
  </TitlesOfParts>
  <Company/>
  <LinksUpToDate>false</LinksUpToDate>
  <CharactersWithSpaces>132366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Strategija Agencije - prijedlog.docx</dc:title>
  <dc:creator>Tamara Teletina-Vukovic</dc:creator>
  <cp:lastModifiedBy>IDDEEA</cp:lastModifiedBy>
  <cp:revision>2</cp:revision>
  <dcterms:created xsi:type="dcterms:W3CDTF">2026-10-23T11:34:00Z</dcterms:created>
  <dcterms:modified xsi:type="dcterms:W3CDTF">2026-10-23T11:34:00Z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d63c2d1fa05b4d4bda08958fabee5ca6fda22268ec4c274722fb456c7ac8a39f</vt:lpwstr>
  </property>
</Properties>
</file>