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79" w:rsidRDefault="00951579" w:rsidP="00951579">
      <w:pPr>
        <w:tabs>
          <w:tab w:val="left" w:pos="3494"/>
        </w:tabs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O B R A Z L O Ž E NJ E</w:t>
      </w:r>
    </w:p>
    <w:p w:rsidR="00951579" w:rsidRDefault="00951579" w:rsidP="00951579">
      <w:pPr>
        <w:rPr>
          <w:rFonts w:ascii="Arial" w:hAnsi="Arial" w:cs="Arial"/>
        </w:rPr>
      </w:pPr>
    </w:p>
    <w:p w:rsidR="003564C2" w:rsidRPr="004F3502" w:rsidRDefault="00951579" w:rsidP="009515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Prav</w:t>
      </w:r>
      <w:r w:rsidR="00B704B6" w:rsidRPr="004F3502">
        <w:rPr>
          <w:rFonts w:ascii="Arial" w:hAnsi="Arial" w:cs="Arial"/>
          <w:b/>
        </w:rPr>
        <w:t>n</w:t>
      </w:r>
      <w:r w:rsidRPr="004F3502">
        <w:rPr>
          <w:rFonts w:ascii="Arial" w:hAnsi="Arial" w:cs="Arial"/>
          <w:b/>
        </w:rPr>
        <w:t xml:space="preserve">i osnov </w:t>
      </w: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Pravni osnov za donošenje Strategije razvoja 20</w:t>
      </w:r>
      <w:r w:rsidR="00853D17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– 202</w:t>
      </w:r>
      <w:r w:rsidR="00853D1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sadržan je u članu </w:t>
      </w:r>
      <w:r w:rsidRPr="00A417F1">
        <w:rPr>
          <w:rFonts w:ascii="Arial" w:hAnsi="Arial" w:cs="Arial"/>
        </w:rPr>
        <w:t>8. stav (1) tačka a) Zakona o Agenciji za identifikaciona dokumenta, evidenciju i razmjenu podataka Bosne i Hercegovine („Sl. glasnik BiH“, broj 56/08)</w:t>
      </w:r>
      <w:r>
        <w:rPr>
          <w:rFonts w:ascii="Arial" w:hAnsi="Arial" w:cs="Arial"/>
        </w:rPr>
        <w:t>, prema kojem IDDEEA predlaže i provodi strategiju i politiku razvoja u Bosni i Hercegovini u oblasti identifikacionih dokumenata.</w:t>
      </w: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</w:p>
    <w:p w:rsidR="00951579" w:rsidRDefault="00951579" w:rsidP="00B704B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osnov za donošenje predmetnog dokumenta sadržan je i u članu 17. Zakona o Vijeću ministara Bosne i Hercegovine („Sl. glasnik BiH“, br. 30/03, 42/03, 81/06, 76/07, 81/07, 94/07 i 24/08), prema kojem Vijeće ministara u ostvarivanju svojih prava i dužnosti donosi različite </w:t>
      </w:r>
      <w:r w:rsidR="00B704B6">
        <w:rPr>
          <w:rFonts w:ascii="Arial" w:hAnsi="Arial" w:cs="Arial"/>
        </w:rPr>
        <w:t>akte, uključujući i strategiju.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951579" w:rsidRPr="004F3502" w:rsidRDefault="00951579" w:rsidP="009515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Razlozi za donošenje</w:t>
      </w: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  <w:r w:rsidRPr="00F55D5F">
        <w:rPr>
          <w:rFonts w:ascii="Arial" w:hAnsi="Arial" w:cs="Arial"/>
        </w:rPr>
        <w:t>Razlozi za donošenje Strategije razvoja 2024 – 2028 su višestruki i temelje se na potrebi za kontinuiranim unapređenjem sigurnosti identifikacionih dokumenata, prateći najnovije standarde i implementirajući napredne tehnologije u ovoj oblasti. Posebna pažnja posvećuje se usklađivanju sa standardima koje propisuje Međunarodna organizacija za civilnu avijaciju (ICAO), kao i standardima EU za biometrijske identifikacione dokumente nove generacije.</w:t>
      </w: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  <w:r w:rsidRPr="00F55D5F">
        <w:rPr>
          <w:rFonts w:ascii="Arial" w:hAnsi="Arial" w:cs="Arial"/>
        </w:rPr>
        <w:t>U skladu sa zakonskim nadležnostima, Agencija planira značajno unapređenje svoje komunikacione infrastrukture prelaskom na optičku mrežu, što će omogućiti bržu i sigurniju razmjenu podataka između nadležnih organa, kao i efikasnije pružanje usluga građanima. Implementacija naprednih tehnologija poput kvalifikovanog elektronskog potpisa predstavlja ključni korak ka digitalnoj transformaciji i omogućavanju elektronskih servisa građanima.</w:t>
      </w: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  <w:r w:rsidRPr="00F55D5F">
        <w:rPr>
          <w:rFonts w:ascii="Arial" w:hAnsi="Arial" w:cs="Arial"/>
        </w:rPr>
        <w:t>Strategija predviđa realizaciju inovativnih projekata poput digitalnog novčanika, koji će</w:t>
      </w:r>
      <w:r>
        <w:rPr>
          <w:rFonts w:ascii="Arial" w:hAnsi="Arial" w:cs="Arial"/>
        </w:rPr>
        <w:t>, između ostalog,</w:t>
      </w:r>
      <w:r w:rsidRPr="00F55D5F">
        <w:rPr>
          <w:rFonts w:ascii="Arial" w:hAnsi="Arial" w:cs="Arial"/>
        </w:rPr>
        <w:t xml:space="preserve"> građanima omogućiti sigurno digitalno</w:t>
      </w:r>
      <w:r>
        <w:rPr>
          <w:rFonts w:ascii="Arial" w:hAnsi="Arial" w:cs="Arial"/>
        </w:rPr>
        <w:t xml:space="preserve"> potpisivanje dokumenata</w:t>
      </w:r>
      <w:r w:rsidRPr="00F55D5F">
        <w:rPr>
          <w:rFonts w:ascii="Arial" w:hAnsi="Arial" w:cs="Arial"/>
        </w:rPr>
        <w:t>. Poboljšanje digitalne inf</w:t>
      </w:r>
      <w:r>
        <w:rPr>
          <w:rFonts w:ascii="Arial" w:hAnsi="Arial" w:cs="Arial"/>
        </w:rPr>
        <w:t>rastrukture kroz modernizaciju d</w:t>
      </w:r>
      <w:r w:rsidRPr="00F55D5F">
        <w:rPr>
          <w:rFonts w:ascii="Arial" w:hAnsi="Arial" w:cs="Arial"/>
        </w:rPr>
        <w:t>ata centra i unapređenje disaster recovery lokacije dodatno će ojačati sigurnost podataka i osigurati kontinuitet poslovanja.</w:t>
      </w: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</w:p>
    <w:p w:rsidR="00F55D5F" w:rsidRPr="00F55D5F" w:rsidRDefault="00F55D5F" w:rsidP="00F55D5F">
      <w:pPr>
        <w:pStyle w:val="ListParagraph"/>
        <w:jc w:val="both"/>
        <w:rPr>
          <w:rFonts w:ascii="Arial" w:hAnsi="Arial" w:cs="Arial"/>
        </w:rPr>
      </w:pPr>
      <w:r w:rsidRPr="00F55D5F">
        <w:rPr>
          <w:rFonts w:ascii="Arial" w:hAnsi="Arial" w:cs="Arial"/>
        </w:rPr>
        <w:t>Usklađivanje sa standardima Evropske unije u pogledu sigurnosti dokumenata i digitalne identifikacije predstavlja ključan korak ka integraciji Bosne i Hercegovine u evropski digitalni prostor. Ovo će omogućiti građanima lakši pristup prekograničnim e-uslugama i povećati sigurnost digitalnih transakcija. Takođe, usmjerenost na međunarodnu saradnju i jačanje tehnoloških kapaciteta Agencije doprinosi ukupnom digitalnom napretku i boljoj interoperabilnosti sa sistemima drugih zemalja.</w:t>
      </w:r>
    </w:p>
    <w:p w:rsidR="00951579" w:rsidRPr="00AD2AB5" w:rsidRDefault="00951579" w:rsidP="00AD2AB5">
      <w:pPr>
        <w:jc w:val="both"/>
        <w:rPr>
          <w:rFonts w:ascii="Arial" w:hAnsi="Arial" w:cs="Arial"/>
        </w:rPr>
      </w:pP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951579" w:rsidRPr="004F3502" w:rsidRDefault="00951579" w:rsidP="009515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lastRenderedPageBreak/>
        <w:t>Usklađenost propisa sa evropskim zakonodavstvom</w:t>
      </w: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</w:p>
    <w:p w:rsidR="00AD2AB5" w:rsidRPr="00AD2AB5" w:rsidRDefault="00951579" w:rsidP="00AD2AB5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Nacrt Strategije razvoja 20</w:t>
      </w:r>
      <w:r w:rsidR="00693A7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– 202</w:t>
      </w:r>
      <w:r w:rsidR="00693A7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ne predstavlja formalno vrstu pravnog akta kojim se vrši usklađivanje sa pravno obavezujućim sekundarnim izvorima prava Evropske unije, te u tom smislu ne postoji obaveza propisana članom </w:t>
      </w:r>
      <w:r w:rsidR="00AD2AB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D2AB5">
        <w:rPr>
          <w:rFonts w:ascii="Arial" w:hAnsi="Arial" w:cs="Arial"/>
        </w:rPr>
        <w:t xml:space="preserve">Odluke </w:t>
      </w:r>
      <w:r w:rsidR="00AD2AB5" w:rsidRPr="00AD2AB5">
        <w:rPr>
          <w:rFonts w:ascii="Arial" w:hAnsi="Arial" w:cs="Arial"/>
        </w:rPr>
        <w:t>o postupku usklađivanja zakonodavstva Bosne i Hercegovine s pravnom tečevinom Evropske unije</w:t>
      </w:r>
    </w:p>
    <w:p w:rsidR="00951579" w:rsidRDefault="00AD2AB5" w:rsidP="00AD2AB5">
      <w:pPr>
        <w:pStyle w:val="ListParagraph"/>
        <w:jc w:val="both"/>
        <w:rPr>
          <w:rFonts w:ascii="Arial" w:hAnsi="Arial" w:cs="Arial"/>
        </w:rPr>
      </w:pPr>
      <w:r w:rsidRPr="00AD2AB5">
        <w:rPr>
          <w:rFonts w:ascii="Arial" w:hAnsi="Arial" w:cs="Arial"/>
        </w:rPr>
        <w:t>(“Službeni glasnik BiH”, br. 75/16, 2/18 i 32/23)</w:t>
      </w:r>
      <w:r w:rsidR="00B704B6">
        <w:rPr>
          <w:rFonts w:ascii="Arial" w:hAnsi="Arial" w:cs="Arial"/>
        </w:rPr>
        <w:t>.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951579" w:rsidRPr="004F3502" w:rsidRDefault="00951579" w:rsidP="009515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Provedbeni mehanizmi</w:t>
      </w:r>
    </w:p>
    <w:p w:rsidR="00951579" w:rsidRDefault="00951579" w:rsidP="00951579">
      <w:pPr>
        <w:pStyle w:val="ListParagraph"/>
        <w:jc w:val="both"/>
        <w:rPr>
          <w:rFonts w:ascii="Arial" w:hAnsi="Arial" w:cs="Arial"/>
        </w:rPr>
      </w:pPr>
    </w:p>
    <w:p w:rsidR="00B704B6" w:rsidRDefault="00566BE7" w:rsidP="00B704B6">
      <w:pPr>
        <w:pStyle w:val="ListParagraph"/>
        <w:jc w:val="both"/>
        <w:rPr>
          <w:rFonts w:ascii="Arial" w:hAnsi="Arial" w:cs="Arial"/>
        </w:rPr>
      </w:pPr>
      <w:r w:rsidRPr="00566BE7">
        <w:rPr>
          <w:rFonts w:ascii="Arial" w:hAnsi="Arial" w:cs="Arial"/>
        </w:rPr>
        <w:t>Provedba Strategije razvoja 2024 – 2028 primarno se obezbjeđuje kroz redovne aktivnosti IDDEEA-e, u skladu s njenim zakonskim nadležnostima i operativnim kapacitetima. Implementacija strateških ciljeva i projekata odvijat će se u okviru postojećih poslovnih procesa Agencije, s krajnjim ciljem unapređenja kvaliteta usluga za građane Bosne i Hercegovine. Rezultati i benefiti ovih aktivnosti bit će dostupni i od koristi nadležnim organima na svim administrativnim nivoima vlasti u Bosni i Hercegovini, dok će građani kao krajnji korisnici imati pristup sigurnijim i tehnološki naprednijim servisima. Unapređenja sistema, infrastrukture i servisa koje će IDDEEA realizirati u strateškom periodu doprinijet će efikasnijem radu zakonodavnih, izvršnih i pravosudnih institucija, omogućavajući građanima jednostavniji i brži pristup javnim uslugama, uz najviše standarde zaštite njihovih p</w:t>
      </w:r>
      <w:r>
        <w:rPr>
          <w:rFonts w:ascii="Arial" w:hAnsi="Arial" w:cs="Arial"/>
        </w:rPr>
        <w:t>odataka i digitalnog identiteta</w:t>
      </w:r>
      <w:r w:rsidR="00B704B6">
        <w:rPr>
          <w:rFonts w:ascii="Arial" w:hAnsi="Arial" w:cs="Arial"/>
        </w:rPr>
        <w:t>.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B704B6" w:rsidRPr="004F3502" w:rsidRDefault="00B704B6" w:rsidP="00B70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Procjena finansijskih sredstava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t>Kako bi se obezbijedilo funkcionisanje Agencije u skladu sa Zakonom o Agenciji u okviru potrebnih finansijskih sredstava iskazana su sredstva koja obuhvataju sredstva za redovne operativne aktivnosti (finansiranje plata, naknada, putnih troškova, finansiranje telefonskih, poštanskih, komunalnih usluga, nabavke materijala, usluga prevoza i goriva, usluge tekućeg održavanja, obuka zaposlenih isl) kao i sredstva predviđena za realizaciju strateških pravaca.  Agencija je u Srednjoročnom programu rada za 2025-2027 kao i Dokumentu okvirnog budžeta za 2025-2027 iskazala potrebna sredstva za funkcionisanje u iznosu od 159.381.185,00 KM. U okviru ovog dokumenta prikazane su fianansijske  vrijednosti za realizaciju strateških ciljeva koje se planiraju realizovati iz budžeta institucija BiH kao i realizacija apliciranjem na međunarodne projekate.</w:t>
      </w: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t>Za realizaciju strateških ciljeva koji su prikazani kroz Akcioni plan neophodna su sljedeća sredstva po godinama i izvorima:</w:t>
      </w: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t>2025. godine sredstva u iznosu od 18.230.000 KM od čega 15.580.000 KM su predviđena budžetom institucije, iznos od 650.000 KM Agencija planira obezbijediti apliciranjem na međunarodne projekte, te iznos od 2.000.000 KM donacija – prihod od RAK-a;</w:t>
      </w: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t>2026. godine sredstva u iznosu od 12.442.000 KM od čega 12.392.000 KM su predviđena budžetom institucije, dok iznos od 50.000 KM Agencija planira obezbijediti apliciranjem na međunarodne projekte;</w:t>
      </w: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lastRenderedPageBreak/>
        <w:t>2027. godine sredstva u iznosu od 5.549.185 KM su sredstva predviđena budžetom institucije;</w:t>
      </w:r>
    </w:p>
    <w:p w:rsidR="003E2EA4" w:rsidRPr="003E2EA4" w:rsidRDefault="003E2EA4" w:rsidP="003E2EA4">
      <w:pPr>
        <w:pStyle w:val="ListParagraph"/>
        <w:jc w:val="both"/>
        <w:rPr>
          <w:rFonts w:ascii="Arial" w:hAnsi="Arial" w:cs="Arial"/>
        </w:rPr>
      </w:pPr>
    </w:p>
    <w:p w:rsidR="00B704B6" w:rsidRDefault="003E2EA4" w:rsidP="003E2EA4">
      <w:pPr>
        <w:pStyle w:val="ListParagraph"/>
        <w:jc w:val="both"/>
        <w:rPr>
          <w:rFonts w:ascii="Arial" w:hAnsi="Arial" w:cs="Arial"/>
        </w:rPr>
      </w:pPr>
      <w:r w:rsidRPr="003E2EA4">
        <w:rPr>
          <w:rFonts w:ascii="Arial" w:hAnsi="Arial" w:cs="Arial"/>
        </w:rPr>
        <w:t>2028. godine sredstva</w:t>
      </w:r>
      <w:r>
        <w:rPr>
          <w:rFonts w:ascii="Arial" w:hAnsi="Arial" w:cs="Arial"/>
        </w:rPr>
        <w:t xml:space="preserve"> u iznosu od 2.000 KM su sredst</w:t>
      </w:r>
      <w:r w:rsidRPr="003E2EA4">
        <w:rPr>
          <w:rFonts w:ascii="Arial" w:hAnsi="Arial" w:cs="Arial"/>
        </w:rPr>
        <w:t>va predviđena budžetom institucije.</w:t>
      </w:r>
    </w:p>
    <w:p w:rsidR="008749E9" w:rsidRDefault="008749E9" w:rsidP="00B704B6">
      <w:pPr>
        <w:pStyle w:val="ListParagraph"/>
        <w:jc w:val="both"/>
        <w:rPr>
          <w:rFonts w:ascii="Arial" w:hAnsi="Arial" w:cs="Arial"/>
        </w:rPr>
      </w:pPr>
    </w:p>
    <w:p w:rsidR="00B704B6" w:rsidRPr="004F3502" w:rsidRDefault="00B704B6" w:rsidP="00B70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Javne konsultacije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Strategija razvoja 20</w:t>
      </w:r>
      <w:r w:rsidR="00693A7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– 202</w:t>
      </w:r>
      <w:r w:rsidR="00693A7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je predmet javnih konsultacija u skladu sa Pravilima za konsultacije u izradi pravnih propisa („Sl. glasnik BiH“, br. </w:t>
      </w:r>
      <w:r w:rsidR="00FA50A1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FA50A1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i </w:t>
      </w:r>
      <w:r w:rsidR="00FA50A1">
        <w:rPr>
          <w:rFonts w:ascii="Arial" w:hAnsi="Arial" w:cs="Arial"/>
        </w:rPr>
        <w:t>87</w:t>
      </w:r>
      <w:r>
        <w:rPr>
          <w:rFonts w:ascii="Arial" w:hAnsi="Arial" w:cs="Arial"/>
        </w:rPr>
        <w:t>/</w:t>
      </w:r>
      <w:r w:rsidR="00FA50A1">
        <w:rPr>
          <w:rFonts w:ascii="Arial" w:hAnsi="Arial" w:cs="Arial"/>
        </w:rPr>
        <w:t>23</w:t>
      </w:r>
      <w:r>
        <w:rPr>
          <w:rFonts w:ascii="Arial" w:hAnsi="Arial" w:cs="Arial"/>
        </w:rPr>
        <w:t>).</w:t>
      </w:r>
    </w:p>
    <w:p w:rsidR="00B47D11" w:rsidRDefault="00B47D11" w:rsidP="00B704B6">
      <w:pPr>
        <w:pStyle w:val="ListParagraph"/>
        <w:jc w:val="both"/>
        <w:rPr>
          <w:rFonts w:ascii="Arial" w:hAnsi="Arial" w:cs="Arial"/>
        </w:rPr>
      </w:pPr>
    </w:p>
    <w:p w:rsidR="006001FF" w:rsidRDefault="00FA50A1" w:rsidP="00850612">
      <w:pPr>
        <w:pStyle w:val="ListParagraph"/>
        <w:jc w:val="both"/>
        <w:rPr>
          <w:rFonts w:ascii="Arial" w:hAnsi="Arial" w:cs="Arial"/>
        </w:rPr>
      </w:pPr>
      <w:r w:rsidRPr="00FA50A1">
        <w:rPr>
          <w:rFonts w:ascii="Arial" w:hAnsi="Arial" w:cs="Arial"/>
        </w:rPr>
        <w:t xml:space="preserve">U skladu sa Poslovnikom o radu Vijeća ministara Bosne i Hercegovine („Službeni glasnik Bosne i Hercegovine” br. 22/03) prije </w:t>
      </w:r>
      <w:r w:rsidR="006001FF">
        <w:rPr>
          <w:rFonts w:ascii="Arial" w:hAnsi="Arial" w:cs="Arial"/>
        </w:rPr>
        <w:t>usvajanja Strategije od strane Vijeća ministara BiH</w:t>
      </w:r>
      <w:r w:rsidRPr="00FA50A1">
        <w:rPr>
          <w:rFonts w:ascii="Arial" w:hAnsi="Arial" w:cs="Arial"/>
        </w:rPr>
        <w:t xml:space="preserve"> pribav</w:t>
      </w:r>
      <w:r w:rsidR="006001FF">
        <w:rPr>
          <w:rFonts w:ascii="Arial" w:hAnsi="Arial" w:cs="Arial"/>
        </w:rPr>
        <w:t>iće se</w:t>
      </w:r>
      <w:r w:rsidRPr="00FA50A1">
        <w:rPr>
          <w:rFonts w:ascii="Arial" w:hAnsi="Arial" w:cs="Arial"/>
        </w:rPr>
        <w:t xml:space="preserve"> mišljenja </w:t>
      </w:r>
      <w:r w:rsidR="006001FF">
        <w:rPr>
          <w:rFonts w:ascii="Arial" w:hAnsi="Arial" w:cs="Arial"/>
        </w:rPr>
        <w:t xml:space="preserve">Ministarstva civilnih poslova Bosne i Hercegovine, </w:t>
      </w:r>
      <w:r w:rsidRPr="00FA50A1">
        <w:rPr>
          <w:rFonts w:ascii="Arial" w:hAnsi="Arial" w:cs="Arial"/>
        </w:rPr>
        <w:t xml:space="preserve">Ureda za zakonodavstvo i Ministarstva finansija i trezora Bosne i Hercegovine. </w:t>
      </w:r>
    </w:p>
    <w:p w:rsidR="006001FF" w:rsidRDefault="006001FF" w:rsidP="00850612">
      <w:pPr>
        <w:pStyle w:val="ListParagraph"/>
        <w:jc w:val="both"/>
        <w:rPr>
          <w:rFonts w:ascii="Arial" w:hAnsi="Arial" w:cs="Arial"/>
        </w:rPr>
      </w:pPr>
    </w:p>
    <w:p w:rsidR="00B47D11" w:rsidRPr="00B47D11" w:rsidRDefault="00FA50A1" w:rsidP="00850612">
      <w:pPr>
        <w:pStyle w:val="ListParagraph"/>
        <w:jc w:val="both"/>
        <w:rPr>
          <w:rFonts w:ascii="Arial" w:hAnsi="Arial" w:cs="Arial"/>
        </w:rPr>
      </w:pPr>
      <w:r w:rsidRPr="00FA50A1">
        <w:rPr>
          <w:rFonts w:ascii="Arial" w:hAnsi="Arial" w:cs="Arial"/>
        </w:rPr>
        <w:t xml:space="preserve">Predložen tekst </w:t>
      </w:r>
      <w:r w:rsidR="006001FF">
        <w:rPr>
          <w:rFonts w:ascii="Arial" w:hAnsi="Arial" w:cs="Arial"/>
        </w:rPr>
        <w:t>Strategije</w:t>
      </w:r>
      <w:r w:rsidRPr="00FA50A1">
        <w:rPr>
          <w:rFonts w:ascii="Arial" w:hAnsi="Arial" w:cs="Arial"/>
        </w:rPr>
        <w:t xml:space="preserve"> </w:t>
      </w:r>
      <w:r w:rsidR="006001FF">
        <w:rPr>
          <w:rFonts w:ascii="Arial" w:hAnsi="Arial" w:cs="Arial"/>
        </w:rPr>
        <w:t>ć</w:t>
      </w:r>
      <w:r w:rsidRPr="00FA50A1">
        <w:rPr>
          <w:rFonts w:ascii="Arial" w:hAnsi="Arial" w:cs="Arial"/>
        </w:rPr>
        <w:t>e takođe bi</w:t>
      </w:r>
      <w:r w:rsidR="006001FF">
        <w:rPr>
          <w:rFonts w:ascii="Arial" w:hAnsi="Arial" w:cs="Arial"/>
        </w:rPr>
        <w:t>ti</w:t>
      </w:r>
      <w:r w:rsidRPr="00FA50A1">
        <w:rPr>
          <w:rFonts w:ascii="Arial" w:hAnsi="Arial" w:cs="Arial"/>
        </w:rPr>
        <w:t xml:space="preserve"> postavljen na platformu e- konsultacije i na službenoj internet stranici www.iddeea.gov ba kako bi se dobio što veći broj mišljenja i eventualnih sugestija na isti. 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B704B6" w:rsidRPr="004F3502" w:rsidRDefault="00B704B6" w:rsidP="00B70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F3502">
        <w:rPr>
          <w:rFonts w:ascii="Arial" w:hAnsi="Arial" w:cs="Arial"/>
          <w:b/>
        </w:rPr>
        <w:t>Obrazloženje pravnih rješenja</w:t>
      </w: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U prvom poglavlju dat je uvod sa pregledom nadležnosti Agencije i institucionalnog okvira, metodologijom razvoja strategije, vizijom i misijom, te ciljevima i svrhom strategije.</w:t>
      </w: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Drugo poglavlje definiše vrijednosti i principe na kojima se zasniva rad Agencije.</w:t>
      </w: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Treće poglavlje sadrži detaljnu analizu trenutnog stanja Agencije i mjere unapređenja, uključujući strukturu, mandat i kapacitete, javne nabavke, saradnju sa nadležnim organima, implementaciju razvojnih projekata, održavanje sistema i infrastrukture, te planove za unapređenje sigurnosti i digitalne transformacije.</w:t>
      </w: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U četvrtom poglavlju identifikovani su ključni izazovi i problemi sa kojima se Agencija suočava.</w:t>
      </w: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Peto poglavlje definiše strateške ciljeve razvoja Agencije.</w:t>
      </w: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4D47A4" w:rsidRPr="004D47A4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Šesto, sedmo i osmo poglavlje bave se planiranjem i implementacijom strategije, finansiranjem i resursima, te sistemom za praćenje i evaluaciju napretka.</w:t>
      </w:r>
    </w:p>
    <w:p w:rsidR="004D47A4" w:rsidRDefault="004D47A4" w:rsidP="004D47A4">
      <w:pPr>
        <w:pStyle w:val="ListParagraph"/>
        <w:jc w:val="both"/>
        <w:rPr>
          <w:rFonts w:ascii="Arial" w:hAnsi="Arial" w:cs="Arial"/>
        </w:rPr>
      </w:pPr>
    </w:p>
    <w:p w:rsidR="001E596C" w:rsidRDefault="004D47A4" w:rsidP="004D47A4">
      <w:pPr>
        <w:pStyle w:val="ListParagraph"/>
        <w:jc w:val="both"/>
        <w:rPr>
          <w:rFonts w:ascii="Arial" w:hAnsi="Arial" w:cs="Arial"/>
        </w:rPr>
      </w:pPr>
      <w:r w:rsidRPr="004D47A4">
        <w:rPr>
          <w:rFonts w:ascii="Arial" w:hAnsi="Arial" w:cs="Arial"/>
        </w:rPr>
        <w:t>Prilog dokumenta čini tabelarni Akcioni plan Strategije razvoja Agencije 2024 – 2028</w:t>
      </w:r>
      <w:bookmarkStart w:id="0" w:name="_GoBack"/>
      <w:bookmarkEnd w:id="0"/>
      <w:r w:rsidR="001E596C">
        <w:rPr>
          <w:rFonts w:ascii="Arial" w:hAnsi="Arial" w:cs="Arial"/>
        </w:rPr>
        <w:t xml:space="preserve">. </w:t>
      </w:r>
    </w:p>
    <w:p w:rsidR="001E596C" w:rsidRPr="00B704B6" w:rsidRDefault="001E596C" w:rsidP="00B704B6">
      <w:pPr>
        <w:pStyle w:val="ListParagraph"/>
        <w:jc w:val="both"/>
        <w:rPr>
          <w:rFonts w:ascii="Arial" w:hAnsi="Arial" w:cs="Arial"/>
        </w:rPr>
      </w:pPr>
    </w:p>
    <w:p w:rsidR="00B704B6" w:rsidRDefault="00B704B6" w:rsidP="00B704B6">
      <w:pPr>
        <w:pStyle w:val="ListParagraph"/>
        <w:jc w:val="both"/>
        <w:rPr>
          <w:rFonts w:ascii="Arial" w:hAnsi="Arial" w:cs="Arial"/>
        </w:rPr>
      </w:pPr>
    </w:p>
    <w:p w:rsidR="00B704B6" w:rsidRPr="00B704B6" w:rsidRDefault="00B704B6" w:rsidP="00B704B6">
      <w:pPr>
        <w:pStyle w:val="ListParagraph"/>
        <w:jc w:val="both"/>
        <w:rPr>
          <w:rFonts w:ascii="Arial" w:hAnsi="Arial" w:cs="Arial"/>
        </w:rPr>
      </w:pPr>
    </w:p>
    <w:sectPr w:rsidR="00B704B6" w:rsidRPr="00B7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0287"/>
    <w:multiLevelType w:val="hybridMultilevel"/>
    <w:tmpl w:val="C87484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79"/>
    <w:rsid w:val="00006746"/>
    <w:rsid w:val="000131DB"/>
    <w:rsid w:val="00014B66"/>
    <w:rsid w:val="000163D0"/>
    <w:rsid w:val="000215B7"/>
    <w:rsid w:val="00027289"/>
    <w:rsid w:val="00034994"/>
    <w:rsid w:val="00037102"/>
    <w:rsid w:val="00041DFC"/>
    <w:rsid w:val="00057A20"/>
    <w:rsid w:val="000644E0"/>
    <w:rsid w:val="000810D0"/>
    <w:rsid w:val="0008189B"/>
    <w:rsid w:val="00082513"/>
    <w:rsid w:val="000B0F5B"/>
    <w:rsid w:val="000C2966"/>
    <w:rsid w:val="000C4844"/>
    <w:rsid w:val="000D130E"/>
    <w:rsid w:val="000D4ACE"/>
    <w:rsid w:val="000F6129"/>
    <w:rsid w:val="00110517"/>
    <w:rsid w:val="00144161"/>
    <w:rsid w:val="00154CA9"/>
    <w:rsid w:val="00156F03"/>
    <w:rsid w:val="0016215A"/>
    <w:rsid w:val="001635A3"/>
    <w:rsid w:val="0016391B"/>
    <w:rsid w:val="001737F0"/>
    <w:rsid w:val="00175BCA"/>
    <w:rsid w:val="0019516D"/>
    <w:rsid w:val="001955BE"/>
    <w:rsid w:val="001A3B4A"/>
    <w:rsid w:val="001A4121"/>
    <w:rsid w:val="001B101E"/>
    <w:rsid w:val="001C362E"/>
    <w:rsid w:val="001D30B3"/>
    <w:rsid w:val="001D3948"/>
    <w:rsid w:val="001E4B58"/>
    <w:rsid w:val="001E596C"/>
    <w:rsid w:val="001F11F1"/>
    <w:rsid w:val="002102B4"/>
    <w:rsid w:val="00222239"/>
    <w:rsid w:val="002426D6"/>
    <w:rsid w:val="0024357D"/>
    <w:rsid w:val="00256C5A"/>
    <w:rsid w:val="00261FED"/>
    <w:rsid w:val="00262690"/>
    <w:rsid w:val="00266874"/>
    <w:rsid w:val="002754AB"/>
    <w:rsid w:val="0028411D"/>
    <w:rsid w:val="002866FD"/>
    <w:rsid w:val="002872EC"/>
    <w:rsid w:val="002903B4"/>
    <w:rsid w:val="0029725C"/>
    <w:rsid w:val="0029786A"/>
    <w:rsid w:val="002B362D"/>
    <w:rsid w:val="002D6A47"/>
    <w:rsid w:val="002E72C4"/>
    <w:rsid w:val="002F31C5"/>
    <w:rsid w:val="002F5261"/>
    <w:rsid w:val="002F60C5"/>
    <w:rsid w:val="002F750D"/>
    <w:rsid w:val="00312E64"/>
    <w:rsid w:val="003221FA"/>
    <w:rsid w:val="00337523"/>
    <w:rsid w:val="00343BCE"/>
    <w:rsid w:val="00345ADD"/>
    <w:rsid w:val="003564C2"/>
    <w:rsid w:val="00381755"/>
    <w:rsid w:val="00385683"/>
    <w:rsid w:val="003A002F"/>
    <w:rsid w:val="003A641B"/>
    <w:rsid w:val="003A728F"/>
    <w:rsid w:val="003B5CDB"/>
    <w:rsid w:val="003C23AB"/>
    <w:rsid w:val="003C406F"/>
    <w:rsid w:val="003C4AD1"/>
    <w:rsid w:val="003D1C7F"/>
    <w:rsid w:val="003E2EA4"/>
    <w:rsid w:val="003F2C6F"/>
    <w:rsid w:val="00431A0F"/>
    <w:rsid w:val="004360A3"/>
    <w:rsid w:val="00442F91"/>
    <w:rsid w:val="00455AC9"/>
    <w:rsid w:val="004571F2"/>
    <w:rsid w:val="004705E1"/>
    <w:rsid w:val="00476510"/>
    <w:rsid w:val="00480512"/>
    <w:rsid w:val="0048407F"/>
    <w:rsid w:val="00487747"/>
    <w:rsid w:val="004A224C"/>
    <w:rsid w:val="004A446D"/>
    <w:rsid w:val="004B6CAC"/>
    <w:rsid w:val="004C1F62"/>
    <w:rsid w:val="004C7C77"/>
    <w:rsid w:val="004D1DF6"/>
    <w:rsid w:val="004D47A4"/>
    <w:rsid w:val="004D4D53"/>
    <w:rsid w:val="004E5DD5"/>
    <w:rsid w:val="004F3502"/>
    <w:rsid w:val="00506DD6"/>
    <w:rsid w:val="00513CAB"/>
    <w:rsid w:val="00515113"/>
    <w:rsid w:val="0052101B"/>
    <w:rsid w:val="00532E19"/>
    <w:rsid w:val="005460B6"/>
    <w:rsid w:val="005646FA"/>
    <w:rsid w:val="00566BE7"/>
    <w:rsid w:val="00574F94"/>
    <w:rsid w:val="0058631C"/>
    <w:rsid w:val="005B0EDF"/>
    <w:rsid w:val="005C48F9"/>
    <w:rsid w:val="005E54AE"/>
    <w:rsid w:val="005E5559"/>
    <w:rsid w:val="005E7478"/>
    <w:rsid w:val="005F05BD"/>
    <w:rsid w:val="005F7AA1"/>
    <w:rsid w:val="006001FF"/>
    <w:rsid w:val="00602A87"/>
    <w:rsid w:val="00610437"/>
    <w:rsid w:val="006229D5"/>
    <w:rsid w:val="0062499C"/>
    <w:rsid w:val="006301DC"/>
    <w:rsid w:val="00632A64"/>
    <w:rsid w:val="00633CB8"/>
    <w:rsid w:val="006354D5"/>
    <w:rsid w:val="00635922"/>
    <w:rsid w:val="00636831"/>
    <w:rsid w:val="006376B7"/>
    <w:rsid w:val="00651A53"/>
    <w:rsid w:val="0066534B"/>
    <w:rsid w:val="00693A71"/>
    <w:rsid w:val="006A08D2"/>
    <w:rsid w:val="006B0D63"/>
    <w:rsid w:val="006D49D5"/>
    <w:rsid w:val="006F1308"/>
    <w:rsid w:val="006F4310"/>
    <w:rsid w:val="00705497"/>
    <w:rsid w:val="00711E78"/>
    <w:rsid w:val="0074116E"/>
    <w:rsid w:val="00744BA8"/>
    <w:rsid w:val="007533AB"/>
    <w:rsid w:val="007549B5"/>
    <w:rsid w:val="00772E39"/>
    <w:rsid w:val="00776F15"/>
    <w:rsid w:val="00782969"/>
    <w:rsid w:val="00787355"/>
    <w:rsid w:val="00787709"/>
    <w:rsid w:val="00794FB5"/>
    <w:rsid w:val="007A3B3C"/>
    <w:rsid w:val="007A3CC1"/>
    <w:rsid w:val="007B2985"/>
    <w:rsid w:val="007D767F"/>
    <w:rsid w:val="007E74CA"/>
    <w:rsid w:val="00812FBF"/>
    <w:rsid w:val="00821002"/>
    <w:rsid w:val="0082218F"/>
    <w:rsid w:val="00833095"/>
    <w:rsid w:val="00837C5B"/>
    <w:rsid w:val="008400DD"/>
    <w:rsid w:val="0084330E"/>
    <w:rsid w:val="00850612"/>
    <w:rsid w:val="00853D17"/>
    <w:rsid w:val="00871076"/>
    <w:rsid w:val="0087127E"/>
    <w:rsid w:val="00873733"/>
    <w:rsid w:val="00873AEE"/>
    <w:rsid w:val="008749E9"/>
    <w:rsid w:val="008765E9"/>
    <w:rsid w:val="008823C5"/>
    <w:rsid w:val="00890B01"/>
    <w:rsid w:val="00893F2F"/>
    <w:rsid w:val="0089670E"/>
    <w:rsid w:val="008B0505"/>
    <w:rsid w:val="008C028F"/>
    <w:rsid w:val="008C5ED8"/>
    <w:rsid w:val="008E08BE"/>
    <w:rsid w:val="008E09AA"/>
    <w:rsid w:val="008F2A02"/>
    <w:rsid w:val="009002DC"/>
    <w:rsid w:val="00904097"/>
    <w:rsid w:val="00910889"/>
    <w:rsid w:val="0092221E"/>
    <w:rsid w:val="00922FEF"/>
    <w:rsid w:val="0092349C"/>
    <w:rsid w:val="00925644"/>
    <w:rsid w:val="00936BD6"/>
    <w:rsid w:val="00944157"/>
    <w:rsid w:val="00951579"/>
    <w:rsid w:val="00960358"/>
    <w:rsid w:val="0096148F"/>
    <w:rsid w:val="009708E4"/>
    <w:rsid w:val="00971A00"/>
    <w:rsid w:val="009A7728"/>
    <w:rsid w:val="009C1670"/>
    <w:rsid w:val="009C1767"/>
    <w:rsid w:val="009C18A7"/>
    <w:rsid w:val="009C66B0"/>
    <w:rsid w:val="009C7E76"/>
    <w:rsid w:val="009D0FD0"/>
    <w:rsid w:val="009D510F"/>
    <w:rsid w:val="009E7831"/>
    <w:rsid w:val="00A033F8"/>
    <w:rsid w:val="00A03843"/>
    <w:rsid w:val="00A03E8A"/>
    <w:rsid w:val="00A05160"/>
    <w:rsid w:val="00A11413"/>
    <w:rsid w:val="00A17C4F"/>
    <w:rsid w:val="00A22B33"/>
    <w:rsid w:val="00A2518F"/>
    <w:rsid w:val="00A378F6"/>
    <w:rsid w:val="00A40981"/>
    <w:rsid w:val="00A417F1"/>
    <w:rsid w:val="00A4230C"/>
    <w:rsid w:val="00A55380"/>
    <w:rsid w:val="00A57338"/>
    <w:rsid w:val="00A60622"/>
    <w:rsid w:val="00A60825"/>
    <w:rsid w:val="00A70873"/>
    <w:rsid w:val="00A86903"/>
    <w:rsid w:val="00AA1308"/>
    <w:rsid w:val="00AA33C0"/>
    <w:rsid w:val="00AB204C"/>
    <w:rsid w:val="00AB647E"/>
    <w:rsid w:val="00AC1B50"/>
    <w:rsid w:val="00AC4D41"/>
    <w:rsid w:val="00AD2AB5"/>
    <w:rsid w:val="00AE3D7E"/>
    <w:rsid w:val="00AF0683"/>
    <w:rsid w:val="00AF5550"/>
    <w:rsid w:val="00AF6B8C"/>
    <w:rsid w:val="00B05237"/>
    <w:rsid w:val="00B05530"/>
    <w:rsid w:val="00B06B99"/>
    <w:rsid w:val="00B23D5D"/>
    <w:rsid w:val="00B26B20"/>
    <w:rsid w:val="00B43CA5"/>
    <w:rsid w:val="00B43FF7"/>
    <w:rsid w:val="00B44997"/>
    <w:rsid w:val="00B468F6"/>
    <w:rsid w:val="00B47D11"/>
    <w:rsid w:val="00B704B6"/>
    <w:rsid w:val="00B71A18"/>
    <w:rsid w:val="00B75347"/>
    <w:rsid w:val="00B76EFB"/>
    <w:rsid w:val="00B76FB4"/>
    <w:rsid w:val="00B862A2"/>
    <w:rsid w:val="00B91D22"/>
    <w:rsid w:val="00BA331E"/>
    <w:rsid w:val="00BA3565"/>
    <w:rsid w:val="00BA50CA"/>
    <w:rsid w:val="00BB5964"/>
    <w:rsid w:val="00BD0D32"/>
    <w:rsid w:val="00BD22C4"/>
    <w:rsid w:val="00BD5D1C"/>
    <w:rsid w:val="00BE72E5"/>
    <w:rsid w:val="00BF0F44"/>
    <w:rsid w:val="00BF638E"/>
    <w:rsid w:val="00C02111"/>
    <w:rsid w:val="00C25A2B"/>
    <w:rsid w:val="00C32370"/>
    <w:rsid w:val="00C437C6"/>
    <w:rsid w:val="00C5030A"/>
    <w:rsid w:val="00C51BB5"/>
    <w:rsid w:val="00C561BF"/>
    <w:rsid w:val="00C627B6"/>
    <w:rsid w:val="00C70200"/>
    <w:rsid w:val="00C857DF"/>
    <w:rsid w:val="00C9450F"/>
    <w:rsid w:val="00CA2D35"/>
    <w:rsid w:val="00CC0237"/>
    <w:rsid w:val="00CC36CB"/>
    <w:rsid w:val="00CC38C3"/>
    <w:rsid w:val="00CC59DA"/>
    <w:rsid w:val="00CD7EB5"/>
    <w:rsid w:val="00CE686D"/>
    <w:rsid w:val="00D034FA"/>
    <w:rsid w:val="00D0592C"/>
    <w:rsid w:val="00D060C6"/>
    <w:rsid w:val="00D1546D"/>
    <w:rsid w:val="00D2629B"/>
    <w:rsid w:val="00D341E1"/>
    <w:rsid w:val="00D76353"/>
    <w:rsid w:val="00D82D08"/>
    <w:rsid w:val="00D83FAA"/>
    <w:rsid w:val="00DB13FF"/>
    <w:rsid w:val="00DB51E6"/>
    <w:rsid w:val="00DD11AE"/>
    <w:rsid w:val="00DD3A77"/>
    <w:rsid w:val="00DE4B2A"/>
    <w:rsid w:val="00E301F5"/>
    <w:rsid w:val="00E31AA6"/>
    <w:rsid w:val="00E34860"/>
    <w:rsid w:val="00E4669F"/>
    <w:rsid w:val="00E63281"/>
    <w:rsid w:val="00E77AB5"/>
    <w:rsid w:val="00E8082C"/>
    <w:rsid w:val="00E84EF8"/>
    <w:rsid w:val="00E86729"/>
    <w:rsid w:val="00E91BB7"/>
    <w:rsid w:val="00EA1869"/>
    <w:rsid w:val="00EC3682"/>
    <w:rsid w:val="00EC5424"/>
    <w:rsid w:val="00EC7461"/>
    <w:rsid w:val="00ED5F0B"/>
    <w:rsid w:val="00EE294B"/>
    <w:rsid w:val="00F1082A"/>
    <w:rsid w:val="00F17CE6"/>
    <w:rsid w:val="00F30380"/>
    <w:rsid w:val="00F316A6"/>
    <w:rsid w:val="00F41524"/>
    <w:rsid w:val="00F449AE"/>
    <w:rsid w:val="00F504EF"/>
    <w:rsid w:val="00F54790"/>
    <w:rsid w:val="00F55D5F"/>
    <w:rsid w:val="00F57B7E"/>
    <w:rsid w:val="00F641B5"/>
    <w:rsid w:val="00F738B8"/>
    <w:rsid w:val="00F80095"/>
    <w:rsid w:val="00F82470"/>
    <w:rsid w:val="00F83BF0"/>
    <w:rsid w:val="00F91D86"/>
    <w:rsid w:val="00FA1BD3"/>
    <w:rsid w:val="00FA50A1"/>
    <w:rsid w:val="00FB5E32"/>
    <w:rsid w:val="00FB77CF"/>
    <w:rsid w:val="00FC3C67"/>
    <w:rsid w:val="00FD0EB1"/>
    <w:rsid w:val="00FE4069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AE6E3-6B96-47F1-902B-009C751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IDDEEA-NERMIN B</cp:lastModifiedBy>
  <cp:revision>18</cp:revision>
  <dcterms:created xsi:type="dcterms:W3CDTF">2024-10-02T10:28:00Z</dcterms:created>
  <dcterms:modified xsi:type="dcterms:W3CDTF">2024-10-04T08:25:00Z</dcterms:modified>
</cp:coreProperties>
</file>