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Datum: 15.02.2024.godine</w:t>
      </w:r>
    </w:p>
    <w:p>
      <w:pPr>
        <w:spacing w:after="0"/>
        <w:rPr>
          <w:rFonts w:ascii="Arial" w:hAnsi="Arial" w:cs="Arial"/>
          <w:b/>
        </w:rPr>
      </w:pPr>
    </w:p>
    <w:p>
      <w:pPr>
        <w:spacing w:after="0" w:line="240" w:lineRule="auto"/>
        <w:jc w:val="center"/>
        <w:rPr>
          <w:rFonts w:ascii="Times New Roman" w:hAnsi="Times New Roman" w:eastAsiaTheme="minorHAnsi"/>
          <w:b/>
          <w:sz w:val="24"/>
          <w:szCs w:val="24"/>
          <w:lang w:val="en-US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 w:eastAsiaTheme="minorHAnsi"/>
          <w:b/>
          <w:sz w:val="20"/>
          <w:szCs w:val="20"/>
          <w:lang w:val="hr-BA"/>
        </w:rPr>
      </w:pPr>
      <w:r>
        <w:rPr>
          <w:rFonts w:hint="default" w:ascii="Times New Roman" w:hAnsi="Times New Roman" w:cs="Times New Roman" w:eastAsiaTheme="minorHAnsi"/>
          <w:b/>
          <w:sz w:val="20"/>
          <w:szCs w:val="20"/>
          <w:lang w:val="hr-BA"/>
        </w:rPr>
        <w:t>SAOPŠTENJE ZA JAVNOST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i/>
          <w:iCs/>
          <w:color w:val="222222"/>
          <w:sz w:val="20"/>
          <w:szCs w:val="20"/>
          <w:lang w:val="hr-HR" w:eastAsia="bs-Latn-BA"/>
        </w:rPr>
      </w:pPr>
      <w:r>
        <w:rPr>
          <w:rFonts w:hint="default" w:ascii="Times New Roman" w:hAnsi="Times New Roman" w:cs="Times New Roman"/>
          <w:b/>
          <w:bCs/>
          <w:i/>
          <w:iCs/>
          <w:color w:val="222222"/>
          <w:sz w:val="20"/>
          <w:szCs w:val="20"/>
          <w:lang w:val="hr-BA" w:eastAsia="bs-Latn-BA"/>
        </w:rPr>
        <w:t>“</w:t>
      </w:r>
      <w:r>
        <w:rPr>
          <w:rFonts w:hint="default" w:ascii="Times New Roman" w:hAnsi="Times New Roman" w:cs="Times New Roman"/>
          <w:b/>
          <w:bCs/>
          <w:i/>
          <w:iCs/>
          <w:color w:val="222222"/>
          <w:sz w:val="20"/>
          <w:szCs w:val="20"/>
          <w:lang w:val="hr-HR" w:eastAsia="bs-Latn-BA"/>
        </w:rPr>
        <w:t>Ubrzanim koracima ka digitalnoj transformaciji u BiH</w:t>
      </w:r>
    </w:p>
    <w:p>
      <w:pPr>
        <w:spacing w:after="0" w:line="240" w:lineRule="auto"/>
        <w:jc w:val="center"/>
        <w:rPr>
          <w:rFonts w:hint="default" w:ascii="Times New Roman" w:hAnsi="Times New Roman" w:cs="Times New Roman" w:eastAsiaTheme="minorHAnsi"/>
          <w:b/>
          <w:i/>
          <w:iCs/>
          <w:sz w:val="20"/>
          <w:szCs w:val="20"/>
          <w:lang w:val="hr-BA"/>
        </w:rPr>
      </w:pPr>
      <w:r>
        <w:rPr>
          <w:rFonts w:hint="default" w:ascii="Times New Roman" w:hAnsi="Times New Roman" w:cs="Times New Roman"/>
          <w:b/>
          <w:bCs/>
          <w:i/>
          <w:iCs/>
          <w:color w:val="222222"/>
          <w:sz w:val="20"/>
          <w:szCs w:val="20"/>
          <w:lang w:val="hr-HR" w:eastAsia="bs-Latn-BA"/>
        </w:rPr>
        <w:t>u skladu sa EU standardima</w:t>
      </w:r>
      <w:r>
        <w:rPr>
          <w:rFonts w:hint="default" w:ascii="Times New Roman" w:hAnsi="Times New Roman" w:cs="Times New Roman"/>
          <w:b/>
          <w:bCs/>
          <w:i/>
          <w:iCs/>
          <w:color w:val="222222"/>
          <w:sz w:val="20"/>
          <w:szCs w:val="20"/>
          <w:lang w:val="hr-BA" w:eastAsia="bs-Latn-BA"/>
        </w:rPr>
        <w:t>”</w:t>
      </w:r>
    </w:p>
    <w:p>
      <w:pPr>
        <w:spacing w:after="0" w:line="240" w:lineRule="auto"/>
        <w:jc w:val="center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</w:p>
    <w:p>
      <w:pPr>
        <w:spacing w:before="240"/>
        <w:jc w:val="both"/>
        <w:rPr>
          <w:rFonts w:hint="default" w:ascii="Times New Roman" w:hAnsi="Times New Roman" w:cs="Times New Roman" w:eastAsiaTheme="minorHAnsi"/>
          <w:b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Evropska unija kontinuirano pruža finansijsku i tehničku podršku Agenciji</w:t>
      </w:r>
      <w:r>
        <w:rPr>
          <w:rFonts w:hint="default" w:ascii="Times New Roman" w:hAnsi="Times New Roman" w:eastAsia="Times New Roman" w:cs="Times New Roman"/>
          <w:sz w:val="20"/>
          <w:szCs w:val="20"/>
          <w:lang w:val="hr-BA"/>
        </w:rPr>
        <w:t xml:space="preserve"> za identifikacione dokumente, evidenciju i razmjenu podataka Bosne i Hercegovine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 xml:space="preserve"> jačajući njene kapacitete. U tu svrhu, EU je u proteklom periodu izdvojila preko 10 miliona eura za nabavku specijalizovane opreme koja se koristi u proizvodnji identifikacionih dokumenta, opreme za nadzor i kvalitetu kontrole, nabavku specijalizovanih servera i druge IT opreme,  vozila i obezbjeđivanje tehničke podrške</w:t>
      </w:r>
      <w:r>
        <w:rPr>
          <w:rFonts w:hint="default" w:ascii="Times New Roman" w:hAnsi="Times New Roman" w:eastAsia="Times New Roman" w:cs="Times New Roman"/>
          <w:sz w:val="20"/>
          <w:szCs w:val="20"/>
          <w:lang w:val="hr-BA"/>
        </w:rPr>
        <w:t>.</w:t>
      </w:r>
      <w:r>
        <w:rPr>
          <w:rFonts w:hint="default" w:ascii="Times New Roman" w:hAnsi="Times New Roman" w:cs="Times New Roman" w:eastAsiaTheme="minorHAnsi"/>
          <w:b/>
          <w:sz w:val="20"/>
          <w:szCs w:val="20"/>
          <w:lang w:val="de-DE"/>
        </w:rPr>
        <w:t xml:space="preserve"> </w:t>
      </w:r>
    </w:p>
    <w:p>
      <w:pPr>
        <w:spacing w:before="240"/>
        <w:jc w:val="both"/>
        <w:rPr>
          <w:rFonts w:hint="default" w:ascii="Times New Roman" w:hAnsi="Times New Roman" w:cs="Times New Roman" w:eastAsiaTheme="minorHAnsi"/>
          <w:sz w:val="20"/>
          <w:szCs w:val="20"/>
          <w:lang w:val="de-DE"/>
        </w:rPr>
      </w:pPr>
      <w:r>
        <w:rPr>
          <w:rFonts w:hint="default" w:ascii="Times New Roman" w:hAnsi="Times New Roman" w:cs="Times New Roman" w:eastAsiaTheme="minorHAnsi"/>
          <w:sz w:val="20"/>
          <w:szCs w:val="20"/>
          <w:lang w:val="de-DE"/>
        </w:rPr>
        <w:t xml:space="preserve">Evropska unija je do sada uložila značajna sredstva u Bosnu i Hercegovinu, oko 3,7 milijardi eura u grantovima, kako bi podržala infrastrukturu, vladavinu prava, obrazovanje, transport, poljoprivredu i druge ključne sektore u zemlji. 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de-DE"/>
        </w:rPr>
      </w:pPr>
      <w:r>
        <w:rPr>
          <w:rFonts w:hint="default" w:ascii="Times New Roman" w:hAnsi="Times New Roman" w:cs="Times New Roman" w:eastAsiaTheme="minorHAnsi"/>
          <w:sz w:val="20"/>
          <w:szCs w:val="20"/>
          <w:lang w:val="de-DE"/>
        </w:rPr>
        <w:t xml:space="preserve">Samo u protekle tri godine IDDEEA je uz podršku EU obezbijedila specijalizovanu tehničku obuku i nabavku opreme u iznosu od 5,5 miliona eura. 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color w:val="FF0000"/>
          <w:sz w:val="20"/>
          <w:szCs w:val="20"/>
          <w:lang w:val="de-DE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 w:eastAsiaTheme="minorHAnsi"/>
          <w:b/>
          <w:color w:val="FF0000"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b/>
          <w:sz w:val="20"/>
          <w:szCs w:val="20"/>
          <w:lang w:val="en-US"/>
        </w:rPr>
        <w:t>EU sredstva iz IPA 2017</w:t>
      </w:r>
    </w:p>
    <w:p>
      <w:pPr>
        <w:spacing w:after="0" w:line="240" w:lineRule="auto"/>
        <w:jc w:val="center"/>
        <w:rPr>
          <w:rFonts w:hint="default" w:ascii="Times New Roman" w:hAnsi="Times New Roman" w:cs="Times New Roman" w:eastAsiaTheme="minorHAnsi"/>
          <w:color w:val="FF0000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b/>
          <w:bCs/>
          <w:iCs/>
          <w:sz w:val="20"/>
          <w:szCs w:val="20"/>
          <w:lang w:val="en-US"/>
        </w:rPr>
        <w:t>Mašine za personalizaciju registarskih tablica i foliomati</w:t>
      </w:r>
      <w:r>
        <w:rPr>
          <w:rFonts w:hint="default" w:ascii="Times New Roman" w:hAnsi="Times New Roman" w:cs="Times New Roman" w:eastAsiaTheme="minorHAnsi"/>
          <w:sz w:val="20"/>
          <w:szCs w:val="20"/>
          <w:lang w:val="en-US"/>
        </w:rPr>
        <w:t xml:space="preserve"> 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sz w:val="20"/>
          <w:szCs w:val="20"/>
          <w:lang w:val="en-US"/>
        </w:rPr>
        <w:t xml:space="preserve">Zahvaljujući ovoj opremi, tehnološki smo unaprijedili process personalizacije registarskih tablica, te povećali kapacitete proizvodnje. Kao rezultat ovog unapređenja prema nadležnim organima se vrši blagovremena isporuka registarskih tablica za građane Bosne i Hercegovine. U periodu od januara do oktobra 2023. personalizovano je i isporučeno </w:t>
      </w:r>
      <w:r>
        <w:rPr>
          <w:rFonts w:hint="default" w:ascii="Times New Roman" w:hAnsi="Times New Roman" w:cs="Times New Roman" w:eastAsiaTheme="minorHAnsi"/>
          <w:b/>
          <w:sz w:val="20"/>
          <w:szCs w:val="20"/>
          <w:lang w:val="en-US"/>
        </w:rPr>
        <w:t xml:space="preserve">261.007 </w:t>
      </w:r>
      <w:r>
        <w:rPr>
          <w:rFonts w:hint="default" w:ascii="Times New Roman" w:hAnsi="Times New Roman" w:cs="Times New Roman" w:eastAsiaTheme="minorHAnsi"/>
          <w:sz w:val="20"/>
          <w:szCs w:val="20"/>
          <w:lang w:val="en-US"/>
        </w:rPr>
        <w:t>registarskih tablica građanima Bosne i Hercegovine.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/>
          <w:bCs/>
          <w:iCs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b/>
          <w:bCs/>
          <w:iCs/>
          <w:sz w:val="20"/>
          <w:szCs w:val="20"/>
          <w:lang w:val="en-US"/>
        </w:rPr>
        <w:t>Video sistem i sistem kontrole pristupa za Centar za personalizaciju i RC Sarajevo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/>
          <w:bCs/>
          <w:iCs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en-US"/>
        </w:rPr>
        <w:t xml:space="preserve">Izvršena je nabavka sistema tehničke zaštite kroz video nadzor, kontrolu pristupa, protupožarne i  protuprovalne  sisteme. Na taj način smo podigli tehničku zaštitu na viši nivo u centru za personalizaciju Regionalni centar Sarajevo, ispunili temeljne principe tehničke zaštite prostora u kojem se vrši čuvanje, obrada podataka, kao i prostorija u kojima se vrši personalizacija dokumenata. 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/>
          <w:bCs/>
          <w:iCs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b/>
          <w:bCs/>
          <w:iCs/>
          <w:sz w:val="20"/>
          <w:szCs w:val="20"/>
          <w:lang w:val="en-US"/>
        </w:rPr>
        <w:t xml:space="preserve">Informatička oprema: laptopi, računari, printeri 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/>
          <w:bCs/>
          <w:iCs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sz w:val="20"/>
          <w:szCs w:val="20"/>
          <w:lang w:val="en-US"/>
        </w:rPr>
        <w:t xml:space="preserve">Zahvaljujući pomoći EU nabavljena je nova informatička oprema za cijelu Agenciju čime je povećana brzina, pouzdanost, sigurnost obrade i pristupa podacima. 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b/>
          <w:sz w:val="20"/>
          <w:szCs w:val="20"/>
          <w:lang w:val="en-US"/>
        </w:rPr>
        <w:t>Big data,  Micro data centar, serverska oprema</w:t>
      </w:r>
      <w:r>
        <w:rPr>
          <w:rFonts w:hint="default" w:ascii="Times New Roman" w:hAnsi="Times New Roman" w:cs="Times New Roman" w:eastAsiaTheme="minorHAnsi"/>
          <w:sz w:val="20"/>
          <w:szCs w:val="20"/>
          <w:lang w:val="en-US"/>
        </w:rPr>
        <w:t xml:space="preserve"> 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color w:val="FF0000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sz w:val="20"/>
          <w:szCs w:val="20"/>
          <w:lang w:val="en-US"/>
        </w:rPr>
        <w:t xml:space="preserve">Sa ciljem osiguravanja efikasnijeg funkcionisanja sistema, nabavljena je nova oprema koja omogućava pohranjivanja većeg broja podataka, efikasniju zaštitu i razmjenu podataka. 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sz w:val="20"/>
          <w:szCs w:val="20"/>
          <w:lang w:val="en-US"/>
        </w:rPr>
        <w:t xml:space="preserve">MicroDataCenter (MDC) predstavlja veoma efikasno i kompaktno rješenje za postavljanje adekvatne informaciono-komunikacione opreme na manjem prostoru. 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sz w:val="20"/>
          <w:szCs w:val="20"/>
          <w:lang w:val="en-US"/>
        </w:rPr>
        <w:t>Agencija je takođe dobila i značajnu količinu serverske infrastrukture što podrazumijeva i same servere ali i određenu količinu storage-a, neophodnih za obradu i pohranu podataka.  Pomenuta oprema iskorištena je za uspostavljanje moderne virtuelne infrastrukture posredstvom koje se obezbjeđuju mnogi servisi prema nadležnim organima i građanima Bosne i Hercegovine.  Agencija je vlasnik telekomunikacione infrastrukture, bazirane na radio-relejnoj opremi, koja se koristi za potrebe prenosa podataka za organe bezbjednosti širom BiH. EU je kroz ovu donaciju osigurala novu radio-relejnu opremu, koja će da zamijeni opremu na terenu, staru više od 15 godina. Nova oprema omogućava veće brzine prenosa podataka, veću raspoloživost i pouzdanost što svakako doprinosi efikasnijem funkcionisanju cjelokupnog sistema.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Cs/>
          <w:iCs/>
          <w:strike/>
          <w:color w:val="FF0000"/>
          <w:sz w:val="20"/>
          <w:szCs w:val="20"/>
          <w:lang w:val="de-DE"/>
        </w:rPr>
      </w:pPr>
      <w:r>
        <w:rPr>
          <w:rFonts w:hint="default" w:ascii="Times New Roman" w:hAnsi="Times New Roman" w:cs="Times New Roman" w:eastAsiaTheme="minorHAnsi"/>
          <w:b/>
          <w:bCs/>
          <w:iCs/>
          <w:sz w:val="20"/>
          <w:szCs w:val="20"/>
          <w:lang w:val="de-DE"/>
        </w:rPr>
        <w:t>PKI infrastruktura, Oprema za elektronski potpis, NTP serveri</w:t>
      </w:r>
      <w:r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de-DE"/>
        </w:rPr>
        <w:t xml:space="preserve"> 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de-DE"/>
        </w:rPr>
      </w:pPr>
      <w:r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de-DE"/>
        </w:rPr>
        <w:t xml:space="preserve">U cilju pripreme IDDEEA-e za certifikaciju po eIDAS standardu i upis u evidenciju ovjeritelja, EU je obezbijedila odgovarajuću hardversku i softversku opremu.  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de-DE"/>
        </w:rPr>
      </w:pPr>
      <w:r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de-DE"/>
        </w:rPr>
        <w:t>Navedena oprema je omogućila certifikovanje i akreditaciju IDDEEA za izdavanje kvalifikovanih digitalnih certifikata. Također, isporučen je NTP server sa kojim je omogućeno mjerenje tačnog vremena, sa ciljem podizanja kvaliteta i tačnosti elektronskog potpisa, što značajno poboljšava bezbjednost i integritet podataka. Ispunjenjem ostalih uslova, odnosno kada IDDEEA započne sa izdavanjem digitalnih certifikata, omogući</w:t>
      </w:r>
      <w:r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hr-BA"/>
        </w:rPr>
        <w:t>t će</w:t>
      </w:r>
      <w:r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de-DE"/>
        </w:rPr>
        <w:t xml:space="preserve"> se građanima pristup e-uslugama koje pružaju organi na svim nivoima vlasti u Bosni i Hercegovini, kao i uslugama pruženim od strane poslovne zajednice.</w:t>
      </w:r>
    </w:p>
    <w:p>
      <w:pPr>
        <w:spacing w:after="0" w:line="240" w:lineRule="auto"/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/>
          <w:bCs/>
          <w:iCs/>
          <w:sz w:val="20"/>
          <w:szCs w:val="20"/>
          <w:lang w:val="de-DE"/>
        </w:rPr>
      </w:pPr>
      <w:r>
        <w:rPr>
          <w:rFonts w:hint="default" w:ascii="Times New Roman" w:hAnsi="Times New Roman" w:cs="Times New Roman" w:eastAsiaTheme="minorHAnsi"/>
          <w:b/>
          <w:bCs/>
          <w:iCs/>
          <w:sz w:val="20"/>
          <w:szCs w:val="20"/>
          <w:lang w:val="de-DE"/>
        </w:rPr>
        <w:t>Razvoj Portala otvorenih podataka i redizajn web stranice IDDEEA BiH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de-DE"/>
        </w:rPr>
      </w:pPr>
      <w:r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de-DE"/>
        </w:rPr>
        <w:t>Razvoj Portala otvorenih podataka i redizajn web stranice IDDEEA BiH. On omog</w:t>
      </w:r>
      <w:r>
        <w:rPr>
          <w:rFonts w:hint="default" w:ascii="Times New Roman" w:hAnsi="Times New Roman" w:cs="Times New Roman" w:eastAsiaTheme="minorHAnsi"/>
          <w:bCs/>
          <w:iCs/>
          <w:sz w:val="20"/>
          <w:szCs w:val="20"/>
        </w:rPr>
        <w:t xml:space="preserve">ućava </w:t>
      </w:r>
      <w:r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de-DE"/>
        </w:rPr>
        <w:t xml:space="preserve">javnosti pristup relevantnim podacima i informacijama o radu agencije, što pomaže u povećanju transparentnosti i odgovornosti u radu. Ovaj portal takodjer omogućava građanima i poslovnim subjektima 40 različitih setova podataka kao što su  registracija motornih vozila, itd. Portal otvorenih podataka u prvih mjesec dana svoga rada je imao prosječno 1800 posjetilaca na dnevnoj osnovi i taj broj se svakodnevno povećava.  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Cs/>
          <w:iCs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iCs/>
          <w:sz w:val="20"/>
          <w:szCs w:val="20"/>
          <w:lang w:val="de-DE"/>
        </w:rPr>
      </w:pPr>
      <w:r>
        <w:rPr>
          <w:rFonts w:hint="default" w:ascii="Times New Roman" w:hAnsi="Times New Roman" w:cs="Times New Roman" w:eastAsiaTheme="minorHAnsi"/>
          <w:bCs/>
          <w:sz w:val="20"/>
          <w:szCs w:val="20"/>
          <w:lang w:val="de-DE"/>
        </w:rPr>
        <w:t>Zamjena Oracle ADF tehnologije novom Oracle Apex tehnologijom u tri postojeće aplikacije te razvoj novih aplikacija (izdavanje putnih isprava, tahografskih kartica</w:t>
      </w:r>
      <w:r>
        <w:rPr>
          <w:rFonts w:hint="default" w:ascii="Times New Roman" w:hAnsi="Times New Roman" w:cs="Times New Roman" w:eastAsiaTheme="minorHAnsi"/>
          <w:iCs/>
          <w:sz w:val="20"/>
          <w:szCs w:val="20"/>
          <w:lang w:val="de-DE"/>
        </w:rPr>
        <w:t>, registracija birača) i CA modula.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iCs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/>
          <w:bCs/>
          <w:iCs/>
          <w:sz w:val="20"/>
          <w:szCs w:val="20"/>
          <w:lang w:val="de-DE"/>
        </w:rPr>
      </w:pPr>
      <w:r>
        <w:rPr>
          <w:rFonts w:hint="default" w:ascii="Times New Roman" w:hAnsi="Times New Roman" w:cs="Times New Roman" w:eastAsiaTheme="minorHAnsi"/>
          <w:iCs/>
          <w:sz w:val="20"/>
          <w:szCs w:val="20"/>
          <w:lang w:val="de-DE"/>
        </w:rPr>
        <w:t>Ovim će se dobiti tehnologije koje su puno modernije, koje primarno karakteriziraju poboljšana jednostavnost održavanja i na taj način nadležnim organima će se pružati bolja usluga. Uspješno završene edukacije za sve službenike IDDEEA-e (18 treninga).</w:t>
      </w:r>
      <w:r>
        <w:rPr>
          <w:rFonts w:hint="default" w:ascii="Times New Roman" w:hAnsi="Times New Roman" w:cs="Times New Roman" w:eastAsiaTheme="minorHAnsi"/>
          <w:iCs/>
          <w:sz w:val="20"/>
          <w:szCs w:val="20"/>
          <w:lang w:val="hr-BA"/>
        </w:rPr>
        <w:t xml:space="preserve"> </w:t>
      </w:r>
      <w:r>
        <w:rPr>
          <w:rFonts w:hint="default" w:ascii="Times New Roman" w:hAnsi="Times New Roman" w:cs="Times New Roman" w:eastAsiaTheme="minorHAnsi"/>
          <w:iCs/>
          <w:sz w:val="20"/>
          <w:szCs w:val="20"/>
          <w:lang w:val="de-DE"/>
        </w:rPr>
        <w:t>Edukacije su bile usmjerene ka jačanju kapaciteta, i to u pogledu pružanja usluga e servisa, digitalnog potpisa, i infrastrukture za portal otvornih podataka. 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/>
          <w:sz w:val="20"/>
          <w:szCs w:val="20"/>
          <w:lang w:val="en-US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 w:eastAsiaTheme="minorHAnsi"/>
          <w:b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b/>
          <w:sz w:val="20"/>
          <w:szCs w:val="20"/>
          <w:lang w:val="en-US"/>
        </w:rPr>
        <w:t>EU sredstva iz IPA 2019</w:t>
      </w:r>
    </w:p>
    <w:p>
      <w:pPr>
        <w:spacing w:after="0" w:line="240" w:lineRule="auto"/>
        <w:jc w:val="center"/>
        <w:rPr>
          <w:rFonts w:hint="default" w:ascii="Times New Roman" w:hAnsi="Times New Roman" w:cs="Times New Roman" w:eastAsiaTheme="minorHAnsi"/>
          <w:b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iCs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iCs/>
          <w:sz w:val="20"/>
          <w:szCs w:val="20"/>
          <w:lang w:val="en-US"/>
        </w:rPr>
        <w:t xml:space="preserve">Iz EU IPA 2019 fonda sufinansirani su projekti unapređenja personalizacije i kontrole ličnih dokumenata. To uključuje nabavku modernih mašina za personalizaciju ličnih karata, vozačkih dozvola i putnih isprava. Dobit ćemo pouzdaniji process personalizacije i veći obim proizvodnje dokumenata što će za rezultat imati brzu realizaciju usluga za građane BiH. 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iCs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iCs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iCs/>
          <w:sz w:val="20"/>
          <w:szCs w:val="20"/>
          <w:lang w:val="hr-BA"/>
        </w:rPr>
        <w:t>Izvršena je i</w:t>
      </w:r>
      <w:r>
        <w:rPr>
          <w:rFonts w:hint="default" w:ascii="Times New Roman" w:hAnsi="Times New Roman" w:cs="Times New Roman" w:eastAsiaTheme="minorHAnsi"/>
          <w:iCs/>
          <w:sz w:val="20"/>
          <w:szCs w:val="20"/>
          <w:lang w:val="en-US"/>
        </w:rPr>
        <w:t>sporuka 7 terenskih vozila što će omogućiti tehničkim ekipama IDDEEA BiH da efikasnije rješavaju zadatke vezane za radio relejnu mrežu i telekomunikaciona čvorista na kotama te time i gradjani i nadležni organi imaju veći nivo kvaliteta usluga u telekomunikacionoj mreži agencije.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iCs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de-DE"/>
        </w:rPr>
      </w:pPr>
    </w:p>
    <w:p>
      <w:pPr>
        <w:spacing w:after="0" w:line="240" w:lineRule="auto"/>
        <w:rPr>
          <w:rFonts w:hint="default" w:ascii="Times New Roman" w:hAnsi="Times New Roman" w:cs="Times New Roman" w:eastAsiaTheme="minorHAnsi"/>
          <w:iCs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b/>
          <w:bCs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b/>
          <w:bCs/>
          <w:sz w:val="20"/>
          <w:szCs w:val="20"/>
          <w:lang w:val="en-US"/>
        </w:rPr>
        <w:t>EU Twinning projekat</w:t>
      </w:r>
    </w:p>
    <w:p>
      <w:pPr>
        <w:spacing w:after="0" w:line="240" w:lineRule="auto"/>
        <w:jc w:val="center"/>
        <w:rPr>
          <w:rFonts w:hint="default" w:ascii="Times New Roman" w:hAnsi="Times New Roman" w:cs="Times New Roman" w:eastAsiaTheme="minorHAnsi"/>
          <w:iCs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iCs/>
          <w:sz w:val="20"/>
          <w:szCs w:val="20"/>
          <w:lang w:val="de-DE"/>
        </w:rPr>
      </w:pPr>
      <w:r>
        <w:rPr>
          <w:rFonts w:hint="default" w:ascii="Times New Roman" w:hAnsi="Times New Roman" w:cs="Times New Roman" w:eastAsiaTheme="minorHAnsi"/>
          <w:iCs/>
          <w:sz w:val="20"/>
          <w:szCs w:val="20"/>
          <w:lang w:val="de-DE"/>
        </w:rPr>
        <w:t>Kroz program Twinning biće ostvareno 5 ključnih rezultata u naredna 24 mjeseca i to kroz promociju dostupnosti, funkcionalnosti i korištenja usluga IDDEEA-e, poboljšanu bezbjednost i kvalitet usluga, povećanu elektronsku participaciju građana i poslovnog sektora, usaglašavanje internih akata IDDEEA-e u sferi elektronskih usluga, zaštite podataka  i elektronskog potpisa sa standardima EU te jačanje ljudskih resursa kroz profesionalni razvoj osoblja IDDEEA-e. Osoblje IDDEEA-e će kroz ovaj projekat usvojiti najbolje prakse institucija iz Italije i Finske, te samim tim unaprijediti kvalitet usluga za sve građane BiH.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iCs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iCs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iCs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iCs/>
          <w:sz w:val="20"/>
          <w:szCs w:val="20"/>
          <w:lang w:val="de-DE"/>
        </w:rPr>
      </w:pP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b/>
          <w:sz w:val="20"/>
          <w:szCs w:val="20"/>
          <w:lang w:val="de-DE"/>
        </w:rPr>
        <w:t>IDDEEA i UN SDG’s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Agencija za identifikacione dokumente, evidenciju i razmjenu podataka Bosne i Hercegovine (IDDEEA) ima ključnu ulogu u Bosni i Hercegovini u ostvarivanju nekoliko ciljeva UN-ovih Održivih razvojnih ciljeva (SDG). 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SDG 1: Bez siromaštva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 xml:space="preserve">Osiguravanjem valjane registracije i dostupnosti identifikacijskih dokumenata, Agencija pridonosi smanjenju siromaštva omogućavajući pristup javnim uslugama. Pružanjem podataka iz evidencija za koje je IDDEEA nadležna omogućuje se socijalnim institucijama brže i efikasnije pružanje pomoći građanima. 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SDG 5: Rodna ravnopravnost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Agencija podržava rodnu ravnopravnost osiguravajući pristup identifikacijskim dokumentima za sve građane, bez obzira na spol. Agencija promiče prikupljanje i distrubiciju podataka o rodnoj ravnopravnosti na području Bosne i Hercegovine.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SDG 9: Industrija, inovacije i infrastruktura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Razmjena podataka koju Agencija omogućuje podržava razvoj infrastrukture i inovacija u upravljanju identifikacijom i registracijom. Pružanje elektronskog potpisa građanima i razvijajući digitalizaciju usluga predstavljaju inovativne pristupe koji podržavaju razvoj infrastrukture i tehnologije.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SDG 10: Smanjenje nejednakosti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Pružanjem usluga izdavanja identifikacijskih dokumenata i vođenjem preciznih evidencija, Agencija doprinosi smanjenju socijalnih nejednakosti u pristupu važnim dokumentima. Pružanje elektronskog potpisa može olakšati građanima, uključujući one koji žive u udaljenim područjima, pristup digitalnim uslugama, smanjujući time digitalne nejednakosti.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SDG 16: Mir, pravda i snažne institucije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Agencija doprinosi izgradnji snažnih institucija unutar Bosne i Hercegovine kroz upravljanje identifikacijskim dokumentima i registrima, čime se podržava pravda i vladavina prava. Također, elektronski potpis doprinosi jačanju pravnih institucija, povećavajući pouzdanost i sigurnost u digitalnim transakcijama.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SDG 17: Partnerstvo za postizanje ciljeva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Digitalizacija usluga i pružanje elektronskog potpisa mogu potaknuti partnerstva između vlasti, privatnog sektora i civilnog društva u ostvarivanju održivog razvoja.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Važno je naglasiti kako Agencija ima ključnu ulogu u izgradnji osnovnih preduvjeta za ostvarivanje šireg spektra ciljeva UN-ovih Održivih razvojnih ciljeva, pridonoseći stabilnosti, pravdi, i socijalnoj inkluziji u Bosni i Hercegovini.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Kroz ove aktivnosti, Agencija doprinosi modernizaciji društva, povećava učinkovitost usluga i podržava tranziciju prema digitalnom društvu, što može imati pozitivan utjecaj na ostvarivanje određenih ciljeva održivog razvoja u Bosni i Hercegovini.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de-DE"/>
        </w:rPr>
      </w:pPr>
    </w:p>
    <w:p>
      <w:pPr>
        <w:tabs>
          <w:tab w:val="left" w:pos="1125"/>
        </w:tabs>
        <w:spacing w:after="0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 xml:space="preserve">Agencija za identifikacijske dokumente, evidenciju i razmjenu podataka Bosne i Hercegovine (IDDEEA) ima ključnu ulogu u ostvarivanju različitih ciljeva navedenih u EU Digitalnoj strategiji i to na sljedeći način: 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Digitalna infrastruktura (Cilj 1):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Agencija, kao vlasnik SDH mreže koju koriste svi nadležni organi u Bosni i Hercegovini planira u narednom periodu da krene sa korištenjem optičke infrastrutkure, unapređuje digitalnu infrastrukturu, podržavajući brzu i pouzdanu povezanost, što je u skladu s ciljem 1.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Umjetna inteligencija (Cilj 2):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Na osnovu zahtjeva nadležnih organa Agencija omogućava korištenje algoritama AI za prepoznavanje lica i otisaka prsta iz baza podataka što doprinosi implementaciji cilja 2 o održivom razvoju i etičkoj upotrebi umjetne inteligencije.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Kibernetička sigurnost (Cilj 3):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Agencija radi na uspostavi odjela za cyber sigurnost i CERT-a što direktno podržava cilj 3, jačanje kibernetičke sigurnosti i zaštita digitalne infrastrukture.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fr-B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fr-BE"/>
        </w:rPr>
        <w:t>Digitalna obrazovanje i vještine (Cilj 4):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fr-BE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fr-B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fr-BE"/>
        </w:rPr>
        <w:t>Aktivnosti Agencije, poput omogućavanja elektroničkih potpisa i pružanja digitalnih rješenja, doprinose razvoju digitalnih vještina među građanima, podržavajući cilj 4.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fr-BE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fr-B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fr-BE"/>
        </w:rPr>
        <w:t>Zeleni digitalni prijelaz (Cilj 5):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fr-BE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fr-B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fr-BE"/>
        </w:rPr>
        <w:t>Optimizacija digitalnih procesa kroz elektroničke potpise i razmjenu podataka može doprinijeti smanjenju ekološkog utjecaja, potičući prema zelenom digitalnom prijelazu.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fr-BE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Razmjena podataka i interoperabilnost (Cilj 6):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Kroz razmjenu podataka putem SDH mreže i digitalnih rješenja, Agencija pridonosi cilju 6, poticanju otvorenosti podataka, interoperabilnosti i razmjene informacija.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E-uprava (Cilj 7):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Suradnja s e-vladom na državnom nivou sa ciljem uspostave E-VLADA rješenja za državne institucije, pružanje komunikacijske infrastrukture, kao i DMS drugim institucijama Agencija podržava cilj 7 o unaprjeđenju usluga e-uprave.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Ukupno, aktivnosti Agencije pokrivaju širok spektar ciljeva EU Digital Strategy, što ukazuje na sveobuhvatni pristup ostvarivanju digitalne transformacije u Bosni i Hercegovini.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 w:eastAsiaTheme="minorHAnsi"/>
          <w:b/>
          <w:sz w:val="20"/>
          <w:szCs w:val="20"/>
          <w:lang w:val="en-US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 w:eastAsiaTheme="minorHAnsi"/>
          <w:b/>
          <w:sz w:val="20"/>
          <w:szCs w:val="20"/>
          <w:lang w:val="en-US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 w:eastAsiaTheme="minorHAnsi"/>
          <w:b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b/>
          <w:sz w:val="20"/>
          <w:szCs w:val="20"/>
          <w:lang w:val="en-US"/>
        </w:rPr>
        <w:t>IDDEEA i 14 EU prioriteta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 xml:space="preserve">Agencija za identifikacijske dokumente, evidenciju i razmjenu podataka Bosne i Hercegovine (IDDEEA) ima značajnu ulogu u ispunjenju nekih od EU prioriteta postavljenih pred Bosnom i Hercegovinom: 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sz w:val="20"/>
          <w:szCs w:val="20"/>
          <w:lang w:val="en-US"/>
        </w:rPr>
        <w:t>1.Izbori u skladu s europskim standardima:</w:t>
      </w:r>
    </w:p>
    <w:p>
      <w:pPr>
        <w:spacing w:after="0" w:line="240" w:lineRule="auto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en-US"/>
        </w:rPr>
      </w:pPr>
      <w:r>
        <w:rPr>
          <w:rFonts w:hint="default" w:ascii="Times New Roman" w:hAnsi="Times New Roman" w:cs="Times New Roman" w:eastAsiaTheme="minorHAnsi"/>
          <w:sz w:val="20"/>
          <w:szCs w:val="20"/>
          <w:lang w:val="en-US"/>
        </w:rPr>
        <w:t>Agencija  aktivno učestvuje i doprinosi osiguravanju transparentnosti izbornog procesa pružanjem ažuriranih centralnih izbornih spiskova, podrškom u vezi s elektronskim potpisima za verifikaciju relevantnih dokumenta, kao i elektronskom identifikacijom birača.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2. Koordinacija pitanja EU: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Agencija u sklopu svojih nadležnosti pruža podršku u uspostavljanju sigurnih elektronskih sistema za koordinaciju između različitih nivoa vlasti, olakšavajući razmjenu podataka i informacija relevantnih za pripremu nacionalnog programa za usvajanje acquis-a.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3. Parlamentarni odbor za stabilizaciju i pridruživanje: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Agencija aktivno sudjeluje u prikupljanju, razmjeni i osiguravanju relevantnih podataka koji se odnose na stabilizaciju i pridruživanje EU.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4. Unaprjeđenje institucionalnog okvira: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A: Agencija pruža podršku u sigurnoj razmjeni informacija između različitih nivoa vlasti.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D: Agencija osigurava sigurne elektronske sisteme za pravosudne institucije.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G: Agencija razvija i pruža podršku elektronskim sistemima za provedbu acquis-a, s naglaskom na profesionalizam i uklanjanju prava veta.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5. Okruženje pogodno za pomirenje: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Agencija sudjeluje u stvaranju elektronskih platformi za dijalog i razmjenu informacija koje podržavaju proces pomirenja.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6. Unaprjeđenje pravosuđa: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Agencija vrši prilagodbu sistema elektronskog potpisa u skladu s europskim standardima, podržavajući implementaciju novih zakona o Visokom sudskom i tužilačkom vijeću.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hr-BA"/>
        </w:rPr>
        <w:t>7</w:t>
      </w: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. Borba protiv korupcije i organiziranog kriminala: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A, B, C, D: Agencija pruža tehnološku podršku za efikasnu razmjenu podataka i praćenje propisa o sukobu interesa.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E: Agencija vrši razvoj sistema za praćenje napretka u istragama i pravosudnim postupcima.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de-DE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de-DE"/>
        </w:rPr>
        <w:t>Agencija vrši prilagođavanje elektronskih sistema kako bi podržavali specifične zahtjeve svakog prioriteta.</w:t>
      </w:r>
    </w:p>
    <w:p>
      <w:pPr>
        <w:spacing w:after="0" w:line="240" w:lineRule="auto"/>
        <w:jc w:val="both"/>
        <w:rPr>
          <w:rFonts w:hint="default" w:ascii="Times New Roman" w:hAnsi="Times New Roman" w:cs="Times New Roman" w:eastAsiaTheme="minorHAnsi"/>
          <w:sz w:val="20"/>
          <w:szCs w:val="20"/>
          <w:lang w:val="de-DE"/>
        </w:rPr>
      </w:pPr>
    </w:p>
    <w:p>
      <w:pPr>
        <w:spacing w:after="0"/>
        <w:rPr>
          <w:rFonts w:hint="default" w:ascii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>
      <w:pPr>
        <w:spacing w:after="0"/>
        <w:rPr>
          <w:rFonts w:hint="default" w:ascii="Times New Roman" w:hAnsi="Times New Roman" w:cs="Times New Roman"/>
          <w:b/>
          <w:sz w:val="20"/>
          <w:szCs w:val="20"/>
        </w:rPr>
      </w:pPr>
    </w:p>
    <w:p>
      <w:pPr>
        <w:spacing w:after="0"/>
        <w:rPr>
          <w:rFonts w:hint="default" w:ascii="Times New Roman" w:hAnsi="Times New Roman" w:cs="Times New Roman"/>
          <w:sz w:val="20"/>
          <w:szCs w:val="20"/>
        </w:rPr>
      </w:pPr>
    </w:p>
    <w:p>
      <w:pPr>
        <w:spacing w:after="0"/>
        <w:rPr>
          <w:rFonts w:ascii="Arial" w:hAnsi="Arial" w:cs="Arial"/>
        </w:rPr>
      </w:pPr>
    </w:p>
    <w:p>
      <w:pPr>
        <w:spacing w:after="0"/>
        <w:rPr>
          <w:rFonts w:ascii="Arial" w:hAnsi="Arial"/>
        </w:rPr>
      </w:pPr>
    </w:p>
    <w:p>
      <w:pPr>
        <w:spacing w:after="0"/>
        <w:rPr>
          <w:rFonts w:ascii="Arial" w:hAnsi="Arial" w:cs="Arial"/>
        </w:rPr>
      </w:pPr>
    </w:p>
    <w:p>
      <w:pPr>
        <w:spacing w:after="0"/>
        <w:rPr>
          <w:rFonts w:ascii="Arial" w:hAnsi="Arial"/>
        </w:rPr>
      </w:pPr>
      <w:r>
        <w:rPr>
          <w:rStyle w:val="37"/>
        </w:rPr>
        <w:t xml:space="preserve">                                             </w:t>
      </w:r>
    </w:p>
    <w:p>
      <w:pPr>
        <w:spacing w:after="0"/>
        <w:rPr>
          <w:rFonts w:ascii="Arial" w:hAnsi="Arial" w:cs="Arial"/>
        </w:rPr>
      </w:pPr>
    </w:p>
    <w:p>
      <w:pPr>
        <w:ind w:left="5664" w:firstLine="708"/>
        <w:rPr>
          <w:rFonts w:ascii="Arial" w:hAnsi="Arial" w:cs="Arial"/>
          <w:sz w:val="8"/>
          <w:szCs w:val="8"/>
          <w:lang w:val="sr-Latn-RS"/>
        </w:rPr>
      </w:pPr>
      <w:r>
        <w:t xml:space="preserve">                             </w:t>
      </w:r>
      <w:r>
        <w:rPr>
          <w:rFonts w:ascii="Arial" w:hAnsi="Arial" w:cs="Arial"/>
          <w:sz w:val="8"/>
          <w:szCs w:val="8"/>
          <w:lang w:val="sr-Latn-RS"/>
        </w:rPr>
        <w:t xml:space="preserve">                            </w:t>
      </w:r>
    </w:p>
    <w:p>
      <w:pPr>
        <w:rPr>
          <w:rFonts w:ascii="Arial" w:hAnsi="Arial" w:cs="Arial"/>
          <w:sz w:val="8"/>
          <w:szCs w:val="8"/>
          <w:lang w:val="sr-Latn-RS"/>
        </w:rPr>
      </w:pPr>
    </w:p>
    <w:p>
      <w:pPr>
        <w:ind w:left="5664" w:firstLine="708"/>
        <w:rPr>
          <w:rFonts w:ascii="Arial" w:hAnsi="Arial" w:cs="Arial"/>
          <w:sz w:val="8"/>
          <w:szCs w:val="8"/>
          <w:lang w:val="sr-Latn-RS"/>
        </w:rPr>
      </w:pPr>
    </w:p>
    <w:p>
      <w:pPr>
        <w:ind w:left="6372"/>
      </w:pPr>
      <w:r>
        <w:t xml:space="preserve">                                                                                                 </w:t>
      </w:r>
    </w:p>
    <w:p>
      <w:pPr>
        <w:ind w:left="6372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                             </w:t>
      </w:r>
    </w:p>
    <w:p>
      <w:pPr>
        <w:ind w:left="6372"/>
        <w:rPr>
          <w:rFonts w:ascii="Arial" w:hAnsi="Arial" w:cs="Arial"/>
          <w:sz w:val="12"/>
          <w:szCs w:val="12"/>
        </w:rPr>
      </w:pPr>
    </w:p>
    <w:p>
      <w:pPr>
        <w:ind w:left="6372"/>
        <w:rPr>
          <w:rFonts w:ascii="Arial" w:hAnsi="Arial" w:cs="Arial"/>
          <w:sz w:val="12"/>
          <w:szCs w:val="12"/>
        </w:rPr>
      </w:pPr>
    </w:p>
    <w:p>
      <w:pPr>
        <w:ind w:left="6372"/>
        <w:rPr>
          <w:rFonts w:ascii="Arial" w:hAnsi="Arial" w:cs="Arial"/>
          <w:sz w:val="12"/>
          <w:szCs w:val="12"/>
        </w:rPr>
      </w:pPr>
    </w:p>
    <w:p>
      <w:pPr>
        <w:ind w:left="6372"/>
        <w:rPr>
          <w:rFonts w:ascii="Arial" w:hAnsi="Arial" w:cs="Arial"/>
          <w:sz w:val="12"/>
          <w:szCs w:val="12"/>
        </w:rPr>
      </w:pPr>
    </w:p>
    <w:p>
      <w:pPr>
        <w:ind w:left="6372"/>
        <w:rPr>
          <w:rFonts w:ascii="Arial" w:hAnsi="Arial" w:cs="Arial"/>
          <w:sz w:val="12"/>
          <w:szCs w:val="12"/>
        </w:rPr>
      </w:pPr>
    </w:p>
    <w:p>
      <w:pPr>
        <w:ind w:left="6372"/>
        <w:rPr>
          <w:rFonts w:ascii="Arial" w:hAnsi="Arial" w:cs="Arial"/>
          <w:sz w:val="12"/>
          <w:szCs w:val="12"/>
        </w:rPr>
      </w:pPr>
    </w:p>
    <w:p>
      <w:pPr>
        <w:ind w:left="6372"/>
        <w:rPr>
          <w:rFonts w:ascii="Arial" w:hAnsi="Arial" w:cs="Arial"/>
          <w:sz w:val="12"/>
          <w:szCs w:val="12"/>
        </w:rPr>
      </w:pPr>
    </w:p>
    <w:p>
      <w:pPr>
        <w:ind w:left="6372"/>
        <w:rPr>
          <w:rFonts w:ascii="Arial" w:hAnsi="Arial" w:cs="Arial"/>
          <w:sz w:val="12"/>
          <w:szCs w:val="12"/>
        </w:rPr>
      </w:pPr>
    </w:p>
    <w:p>
      <w:pPr>
        <w:ind w:left="6372"/>
        <w:rPr>
          <w:rFonts w:ascii="Arial" w:hAnsi="Arial" w:cs="Arial"/>
          <w:sz w:val="12"/>
          <w:szCs w:val="12"/>
        </w:rPr>
      </w:pPr>
    </w:p>
    <w:p>
      <w:pPr>
        <w:rPr>
          <w:rFonts w:ascii="Arial" w:hAnsi="Arial" w:cs="Arial"/>
          <w:sz w:val="12"/>
          <w:szCs w:val="12"/>
        </w:rPr>
      </w:pPr>
    </w:p>
    <w:p>
      <w:pPr>
        <w:ind w:left="6372"/>
        <w:rPr>
          <w:rFonts w:ascii="Arial" w:hAnsi="Arial" w:cs="Arial"/>
          <w:sz w:val="12"/>
          <w:szCs w:val="12"/>
        </w:rPr>
      </w:pPr>
    </w:p>
    <w:p>
      <w:pPr>
        <w:ind w:left="6372"/>
        <w:rPr>
          <w:rFonts w:ascii="Arial" w:hAnsi="Arial" w:cs="Arial"/>
          <w:sz w:val="12"/>
          <w:szCs w:val="12"/>
        </w:rPr>
      </w:pPr>
    </w:p>
    <w:p>
      <w:pPr>
        <w:tabs>
          <w:tab w:val="left" w:pos="8265"/>
        </w:tabs>
        <w:rPr>
          <w:rFonts w:ascii="Arial" w:hAnsi="Arial" w:cs="Arial"/>
          <w:sz w:val="24"/>
          <w:szCs w:val="24"/>
        </w:rPr>
      </w:pPr>
    </w:p>
    <w:sectPr>
      <w:headerReference r:id="rId6" w:type="first"/>
      <w:footerReference r:id="rId8" w:type="first"/>
      <w:headerReference r:id="rId5" w:type="default"/>
      <w:footerReference r:id="rId7" w:type="default"/>
      <w:pgSz w:w="11906" w:h="16838"/>
      <w:pgMar w:top="1440" w:right="1440" w:bottom="1440" w:left="1584" w:header="706" w:footer="706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EE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right"/>
      <w:rPr>
        <w:rStyle w:val="14"/>
        <w:sz w:val="20"/>
        <w:szCs w:val="20"/>
      </w:rPr>
    </w:pPr>
    <w:r>
      <w:rPr>
        <w:i/>
        <w:iCs/>
        <w:sz w:val="20"/>
        <w:szCs w:val="20"/>
        <w:lang w:eastAsia="bs-Latn-BA"/>
      </w:rPr>
      <w:drawing>
        <wp:inline distT="0" distB="0" distL="0" distR="0">
          <wp:extent cx="6381750" cy="85725"/>
          <wp:effectExtent l="0" t="0" r="0" b="9525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0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14"/>
        <w:sz w:val="20"/>
        <w:szCs w:val="20"/>
      </w:rPr>
      <w:fldChar w:fldCharType="begin"/>
    </w:r>
    <w:r>
      <w:rPr>
        <w:rStyle w:val="14"/>
        <w:sz w:val="20"/>
        <w:szCs w:val="20"/>
      </w:rPr>
      <w:instrText xml:space="preserve"> PAGE   \* MERGEFORMAT </w:instrText>
    </w:r>
    <w:r>
      <w:rPr>
        <w:rStyle w:val="14"/>
        <w:sz w:val="20"/>
        <w:szCs w:val="20"/>
      </w:rPr>
      <w:fldChar w:fldCharType="separate"/>
    </w:r>
    <w:r>
      <w:rPr>
        <w:rStyle w:val="14"/>
        <w:sz w:val="20"/>
        <w:szCs w:val="20"/>
      </w:rPr>
      <w:t>7</w:t>
    </w:r>
    <w:r>
      <w:rPr>
        <w:rStyle w:val="14"/>
        <w:sz w:val="20"/>
        <w:szCs w:val="20"/>
      </w:rPr>
      <w:fldChar w:fldCharType="end"/>
    </w:r>
  </w:p>
  <w:p>
    <w:pPr>
      <w:pStyle w:val="15"/>
      <w:rPr>
        <w:rStyle w:val="14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536"/>
        <w:tab w:val="right" w:pos="9072"/>
      </w:tabs>
      <w:spacing w:after="0" w:line="240" w:lineRule="auto"/>
      <w:jc w:val="center"/>
      <w:rPr>
        <w:sz w:val="16"/>
        <w:szCs w:val="16"/>
        <w:lang w:val="sr-Latn-BA"/>
      </w:rPr>
    </w:pPr>
    <w:r>
      <w:rPr>
        <w:rFonts w:cs="Calibri"/>
        <w:sz w:val="16"/>
        <w:szCs w:val="16"/>
        <w:lang w:val="sr-Latn-BA"/>
      </w:rPr>
      <w:t>Kralja Petra I Karađorđevića 83A, Banja Luka, Bosna i Hercegovina, tel:</w:t>
    </w:r>
    <w:r>
      <w:rPr>
        <w:sz w:val="16"/>
        <w:szCs w:val="16"/>
        <w:lang w:val="sr-Latn-BA"/>
      </w:rPr>
      <w:t xml:space="preserve"> </w:t>
    </w:r>
    <w:r>
      <w:rPr>
        <w:rFonts w:cs="Calibri"/>
        <w:sz w:val="16"/>
        <w:szCs w:val="16"/>
        <w:lang w:val="sr-Latn-BA"/>
      </w:rPr>
      <w:t>+387 51 340 170, fax:</w:t>
    </w:r>
    <w:r>
      <w:rPr>
        <w:sz w:val="16"/>
        <w:szCs w:val="16"/>
        <w:lang w:val="sr-Latn-BA"/>
      </w:rPr>
      <w:t xml:space="preserve"> </w:t>
    </w:r>
    <w:r>
      <w:rPr>
        <w:rFonts w:cs="Calibri"/>
        <w:sz w:val="16"/>
        <w:szCs w:val="16"/>
        <w:lang w:val="sr-Latn-BA"/>
      </w:rPr>
      <w:t>+387 51 340 180</w:t>
    </w:r>
  </w:p>
  <w:p>
    <w:pPr>
      <w:tabs>
        <w:tab w:val="center" w:pos="4536"/>
        <w:tab w:val="right" w:pos="9072"/>
      </w:tabs>
      <w:spacing w:after="0" w:line="240" w:lineRule="auto"/>
      <w:jc w:val="center"/>
      <w:rPr>
        <w:rFonts w:cs="Calibri"/>
        <w:sz w:val="14"/>
        <w:szCs w:val="14"/>
        <w:lang w:val="sr-Latn-BA"/>
      </w:rPr>
    </w:pPr>
    <w:r>
      <w:rPr>
        <w:sz w:val="16"/>
        <w:szCs w:val="16"/>
        <w:lang w:val="sr-Cyrl-RS"/>
      </w:rPr>
      <w:t>Кра</w:t>
    </w:r>
    <w:r>
      <w:rPr>
        <w:rFonts w:cs="Calibri"/>
        <w:sz w:val="16"/>
        <w:szCs w:val="16"/>
        <w:lang w:val="sr-Cyrl-RS"/>
      </w:rPr>
      <w:t xml:space="preserve">ља Петра </w:t>
    </w:r>
    <w:r>
      <w:rPr>
        <w:rFonts w:cs="Calibri"/>
        <w:sz w:val="16"/>
        <w:szCs w:val="16"/>
        <w:lang w:val="sr-Latn-BA"/>
      </w:rPr>
      <w:t xml:space="preserve">I </w:t>
    </w:r>
    <w:r>
      <w:rPr>
        <w:rFonts w:cs="Calibri"/>
        <w:sz w:val="16"/>
        <w:szCs w:val="16"/>
        <w:lang w:val="sr-Cyrl-RS"/>
      </w:rPr>
      <w:t>Карађорђевића 83</w:t>
    </w:r>
    <w:r>
      <w:rPr>
        <w:rFonts w:cs="Calibri"/>
        <w:sz w:val="16"/>
        <w:szCs w:val="16"/>
        <w:lang w:val="en-US"/>
      </w:rPr>
      <w:t>A</w:t>
    </w:r>
    <w:r>
      <w:rPr>
        <w:rFonts w:cs="Calibri"/>
        <w:sz w:val="16"/>
        <w:szCs w:val="16"/>
        <w:lang w:val="sr-Cyrl-RS"/>
      </w:rPr>
      <w:t xml:space="preserve">, </w:t>
    </w:r>
    <w:r>
      <w:rPr>
        <w:sz w:val="16"/>
        <w:szCs w:val="16"/>
        <w:lang w:val="sr-Cyrl-RS"/>
      </w:rPr>
      <w:t xml:space="preserve">Бања Лука, </w:t>
    </w:r>
    <w:r>
      <w:rPr>
        <w:sz w:val="16"/>
        <w:szCs w:val="16"/>
        <w:lang w:val="sr-Cyrl-BA"/>
      </w:rPr>
      <w:t xml:space="preserve">Босна и Херцеговина, </w:t>
    </w:r>
    <w:r>
      <w:rPr>
        <w:rFonts w:cs="Calibri"/>
        <w:sz w:val="16"/>
        <w:szCs w:val="16"/>
        <w:lang w:val="sr-Cyrl-RS"/>
      </w:rPr>
      <w:t>тел:+387 51 340 170, фах:</w:t>
    </w:r>
    <w:r>
      <w:rPr>
        <w:sz w:val="16"/>
        <w:szCs w:val="16"/>
        <w:lang w:val="sr-Cyrl-RS"/>
      </w:rPr>
      <w:t xml:space="preserve"> </w:t>
    </w:r>
    <w:r>
      <w:rPr>
        <w:sz w:val="16"/>
        <w:szCs w:val="16"/>
      </w:rPr>
      <w:t>+</w:t>
    </w:r>
    <w:r>
      <w:rPr>
        <w:rFonts w:cs="Calibri"/>
        <w:sz w:val="16"/>
        <w:szCs w:val="16"/>
        <w:lang w:val="sr-Cyrl-RS"/>
      </w:rPr>
      <w:t>387 51 340 180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  <w:r>
      <w:rPr>
        <w:rFonts w:ascii="Arial" w:hAnsi="Arial" w:cs="Arial"/>
        <w:i/>
        <w:sz w:val="20"/>
        <w:szCs w:val="20"/>
      </w:rPr>
      <w:t>www.iddeea.gov.ba</w:t>
    </w:r>
    <w:r>
      <w:rPr>
        <w:lang w:eastAsia="bs-Latn-BA"/>
      </w:rPr>
      <w:drawing>
        <wp:inline distT="0" distB="0" distL="0" distR="0">
          <wp:extent cx="5638800" cy="7620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80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9235" w:type="dxa"/>
      <w:tblInd w:w="918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510"/>
      <w:gridCol w:w="2160"/>
      <w:gridCol w:w="3565"/>
    </w:tblGrid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9235" w:type="dxa"/>
          <w:gridSpan w:val="3"/>
          <w:tcBorders>
            <w:top w:val="nil"/>
            <w:left w:val="nil"/>
            <w:bottom w:val="nil"/>
            <w:right w:val="nil"/>
          </w:tcBorders>
        </w:tcPr>
        <w:p>
          <w:pPr>
            <w:pStyle w:val="16"/>
            <w:rPr>
              <w:rStyle w:val="14"/>
            </w:rPr>
          </w:pPr>
          <w:r>
            <w:rPr>
              <w:i/>
              <w:iCs/>
              <w:lang w:eastAsia="bs-Latn-BA"/>
            </w:rPr>
            <w:drawing>
              <wp:inline distT="0" distB="0" distL="0" distR="0">
                <wp:extent cx="5608320" cy="101028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5665" cy="10172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i/>
              <w:iCs/>
              <w:lang w:eastAsia="bs-Latn-B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-1582420</wp:posOffset>
                </wp:positionH>
                <wp:positionV relativeFrom="paragraph">
                  <wp:posOffset>-442595</wp:posOffset>
                </wp:positionV>
                <wp:extent cx="1236980" cy="10681335"/>
                <wp:effectExtent l="0" t="0" r="1270" b="635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6980" cy="10681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3510" w:type="dxa"/>
          <w:tcBorders>
            <w:top w:val="nil"/>
            <w:left w:val="nil"/>
            <w:bottom w:val="nil"/>
            <w:right w:val="nil"/>
          </w:tcBorders>
        </w:tcPr>
        <w:p>
          <w:pPr>
            <w:pStyle w:val="16"/>
            <w:jc w:val="center"/>
            <w:rPr>
              <w:rStyle w:val="14"/>
            </w:rPr>
          </w:pP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</w:tcPr>
        <w:p>
          <w:pPr>
            <w:pStyle w:val="16"/>
            <w:jc w:val="center"/>
            <w:rPr>
              <w:rStyle w:val="14"/>
            </w:rPr>
          </w:pPr>
        </w:p>
      </w:tc>
      <w:tc>
        <w:tcPr>
          <w:tcW w:w="3565" w:type="dxa"/>
          <w:tcBorders>
            <w:top w:val="nil"/>
            <w:left w:val="nil"/>
            <w:bottom w:val="nil"/>
            <w:right w:val="nil"/>
          </w:tcBorders>
        </w:tcPr>
        <w:p>
          <w:pPr>
            <w:pStyle w:val="16"/>
            <w:jc w:val="center"/>
            <w:rPr>
              <w:rStyle w:val="14"/>
            </w:rPr>
          </w:pPr>
        </w:p>
      </w:tc>
    </w:tr>
  </w:tbl>
  <w:p>
    <w:pPr>
      <w:pStyle w:val="16"/>
      <w:tabs>
        <w:tab w:val="left" w:pos="7035"/>
        <w:tab w:val="clear" w:pos="4536"/>
        <w:tab w:val="clear" w:pos="9072"/>
      </w:tabs>
      <w:spacing w:after="240"/>
      <w:rPr>
        <w:rFonts w:ascii="Arial" w:hAnsi="Arial" w:cs="Arial"/>
        <w:sz w:val="20"/>
        <w:szCs w:val="20"/>
      </w:rPr>
    </w:pPr>
    <w:r>
      <w:rPr>
        <w:rStyle w:val="14"/>
        <w:rFonts w:ascii="Arial" w:hAnsi="Arial" w:cs="Arial"/>
        <w:i w:val="0"/>
        <w:sz w:val="20"/>
        <w:szCs w:val="20"/>
        <w:lang w:val="hr-BA"/>
      </w:rPr>
      <w:t xml:space="preserve">                                           Kabinet/</w:t>
    </w:r>
    <w:r>
      <w:rPr>
        <w:rStyle w:val="14"/>
        <w:rFonts w:ascii="Arial" w:hAnsi="Arial" w:cs="Arial"/>
        <w:i w:val="0"/>
        <w:sz w:val="20"/>
        <w:szCs w:val="20"/>
      </w:rPr>
      <w:t>Ured direktora</w:t>
    </w:r>
    <w:r>
      <w:rPr>
        <w:rStyle w:val="14"/>
        <w:rFonts w:ascii="Arial" w:hAnsi="Arial" w:cs="Arial"/>
        <w:i w:val="0"/>
        <w:sz w:val="20"/>
        <w:szCs w:val="20"/>
        <w:lang w:val="hr-BA"/>
      </w:rPr>
      <w:t xml:space="preserve">                                          </w:t>
    </w:r>
    <w:r>
      <w:rPr>
        <w:rStyle w:val="14"/>
        <w:rFonts w:ascii="Arial" w:hAnsi="Arial" w:cs="Arial"/>
        <w:i w:val="0"/>
        <w:sz w:val="20"/>
        <w:szCs w:val="20"/>
        <w:lang w:val="sr-Cyrl-CS"/>
      </w:rPr>
      <w:t xml:space="preserve">Кабинет </w:t>
    </w:r>
    <w:r>
      <w:rPr>
        <w:rStyle w:val="14"/>
        <w:rFonts w:ascii="Arial" w:hAnsi="Arial" w:cs="Arial"/>
        <w:i w:val="0"/>
        <w:sz w:val="20"/>
        <w:szCs w:val="20"/>
        <w:lang w:val="sr-Cyrl-BA"/>
      </w:rPr>
      <w:t>д</w:t>
    </w:r>
    <w:r>
      <w:rPr>
        <w:rStyle w:val="14"/>
        <w:rFonts w:ascii="Arial" w:hAnsi="Arial" w:cs="Arial"/>
        <w:i w:val="0"/>
        <w:sz w:val="20"/>
        <w:szCs w:val="20"/>
        <w:lang w:val="sr-Cyrl-CS"/>
      </w:rPr>
      <w:t>иректор</w:t>
    </w:r>
    <w:r>
      <w:rPr>
        <w:rStyle w:val="14"/>
        <w:rFonts w:ascii="Arial" w:hAnsi="Arial" w:cs="Arial"/>
        <w:i w:val="0"/>
        <w:sz w:val="20"/>
        <w:szCs w:val="20"/>
        <w:lang w:val="sr-Cyrl-BA"/>
      </w:rPr>
      <w:t>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5A1025"/>
    <w:multiLevelType w:val="multilevel"/>
    <w:tmpl w:val="615A1025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default" w:cs="Times New Roman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default" w:cs="Times New Roman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hint="default" w:cs="Times New Roman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080"/>
        </w:tabs>
        <w:ind w:left="864" w:hanging="864"/>
      </w:pPr>
      <w:rPr>
        <w:rFonts w:hint="default" w:cs="Times New Roman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440"/>
        </w:tabs>
        <w:ind w:left="1008" w:hanging="1008"/>
      </w:pPr>
      <w:rPr>
        <w:rFonts w:hint="default" w:cs="Times New Roman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800"/>
        </w:tabs>
        <w:ind w:left="1152" w:hanging="1152"/>
      </w:pPr>
      <w:rPr>
        <w:rFonts w:hint="default" w:cs="Times New Roman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800"/>
        </w:tabs>
        <w:ind w:left="1296" w:hanging="1296"/>
      </w:pPr>
      <w:rPr>
        <w:rFonts w:hint="default" w:cs="Times New Roman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2160"/>
        </w:tabs>
        <w:ind w:left="1440" w:hanging="1440"/>
      </w:pPr>
      <w:rPr>
        <w:rFonts w:hint="default" w:cs="Times New Roman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2520"/>
        </w:tabs>
        <w:ind w:left="1584" w:hanging="1584"/>
      </w:pPr>
      <w:rPr>
        <w:rFonts w:hint="default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attachedTemplate r:id="rId1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7FA"/>
    <w:rsid w:val="00011480"/>
    <w:rsid w:val="00027159"/>
    <w:rsid w:val="00041705"/>
    <w:rsid w:val="0005355F"/>
    <w:rsid w:val="000611C1"/>
    <w:rsid w:val="000613B5"/>
    <w:rsid w:val="000938C9"/>
    <w:rsid w:val="000B22B6"/>
    <w:rsid w:val="000B26D4"/>
    <w:rsid w:val="000B378D"/>
    <w:rsid w:val="000C430E"/>
    <w:rsid w:val="000C4A92"/>
    <w:rsid w:val="000D0BA9"/>
    <w:rsid w:val="000D2ED1"/>
    <w:rsid w:val="000F6C57"/>
    <w:rsid w:val="0010004F"/>
    <w:rsid w:val="0015036F"/>
    <w:rsid w:val="00162002"/>
    <w:rsid w:val="001A66C4"/>
    <w:rsid w:val="0020178E"/>
    <w:rsid w:val="00243D7A"/>
    <w:rsid w:val="002450F2"/>
    <w:rsid w:val="00271791"/>
    <w:rsid w:val="0027587A"/>
    <w:rsid w:val="00276A9C"/>
    <w:rsid w:val="00287180"/>
    <w:rsid w:val="002B7C25"/>
    <w:rsid w:val="002C581C"/>
    <w:rsid w:val="002E16FE"/>
    <w:rsid w:val="003072CC"/>
    <w:rsid w:val="003279C5"/>
    <w:rsid w:val="00354696"/>
    <w:rsid w:val="00370D2E"/>
    <w:rsid w:val="00390E77"/>
    <w:rsid w:val="00391189"/>
    <w:rsid w:val="003A3C51"/>
    <w:rsid w:val="003B6811"/>
    <w:rsid w:val="003E3B1F"/>
    <w:rsid w:val="003F564D"/>
    <w:rsid w:val="00433627"/>
    <w:rsid w:val="00433BE3"/>
    <w:rsid w:val="00476742"/>
    <w:rsid w:val="004974AC"/>
    <w:rsid w:val="004A7677"/>
    <w:rsid w:val="004C08A6"/>
    <w:rsid w:val="004D6CBC"/>
    <w:rsid w:val="005327BC"/>
    <w:rsid w:val="005328C3"/>
    <w:rsid w:val="00580216"/>
    <w:rsid w:val="0059098B"/>
    <w:rsid w:val="005A46A0"/>
    <w:rsid w:val="005B035C"/>
    <w:rsid w:val="005E12E6"/>
    <w:rsid w:val="005F32E8"/>
    <w:rsid w:val="00601A64"/>
    <w:rsid w:val="00634E14"/>
    <w:rsid w:val="0063538F"/>
    <w:rsid w:val="006359C2"/>
    <w:rsid w:val="006525EA"/>
    <w:rsid w:val="006529B6"/>
    <w:rsid w:val="006613B4"/>
    <w:rsid w:val="00683555"/>
    <w:rsid w:val="006862AF"/>
    <w:rsid w:val="0068698C"/>
    <w:rsid w:val="006919C8"/>
    <w:rsid w:val="006940D1"/>
    <w:rsid w:val="00695C8C"/>
    <w:rsid w:val="00707703"/>
    <w:rsid w:val="007228A5"/>
    <w:rsid w:val="00723AAB"/>
    <w:rsid w:val="00787FD5"/>
    <w:rsid w:val="00796061"/>
    <w:rsid w:val="007B45A7"/>
    <w:rsid w:val="007C6677"/>
    <w:rsid w:val="007D5ABA"/>
    <w:rsid w:val="007E37B4"/>
    <w:rsid w:val="007F4648"/>
    <w:rsid w:val="007F722B"/>
    <w:rsid w:val="00834F27"/>
    <w:rsid w:val="00845748"/>
    <w:rsid w:val="00845857"/>
    <w:rsid w:val="008558C1"/>
    <w:rsid w:val="008D2A34"/>
    <w:rsid w:val="008F6020"/>
    <w:rsid w:val="00936764"/>
    <w:rsid w:val="009402B2"/>
    <w:rsid w:val="00952CED"/>
    <w:rsid w:val="00967A8A"/>
    <w:rsid w:val="00990578"/>
    <w:rsid w:val="009A4103"/>
    <w:rsid w:val="009A5981"/>
    <w:rsid w:val="009E29E6"/>
    <w:rsid w:val="009F7841"/>
    <w:rsid w:val="00A400DF"/>
    <w:rsid w:val="00A40204"/>
    <w:rsid w:val="00A41038"/>
    <w:rsid w:val="00A427FA"/>
    <w:rsid w:val="00A75A8C"/>
    <w:rsid w:val="00A91742"/>
    <w:rsid w:val="00AB592E"/>
    <w:rsid w:val="00AE4DA1"/>
    <w:rsid w:val="00B3106C"/>
    <w:rsid w:val="00B451F5"/>
    <w:rsid w:val="00B52344"/>
    <w:rsid w:val="00BC1DAF"/>
    <w:rsid w:val="00BF5E17"/>
    <w:rsid w:val="00BF734D"/>
    <w:rsid w:val="00C006D7"/>
    <w:rsid w:val="00C0088E"/>
    <w:rsid w:val="00C17C7C"/>
    <w:rsid w:val="00C236B7"/>
    <w:rsid w:val="00CD3C5D"/>
    <w:rsid w:val="00CF21E4"/>
    <w:rsid w:val="00D035B3"/>
    <w:rsid w:val="00D2150C"/>
    <w:rsid w:val="00D343F1"/>
    <w:rsid w:val="00D37A8D"/>
    <w:rsid w:val="00D766F0"/>
    <w:rsid w:val="00D85942"/>
    <w:rsid w:val="00DB4380"/>
    <w:rsid w:val="00DC1E2D"/>
    <w:rsid w:val="00DE06DE"/>
    <w:rsid w:val="00E15C3C"/>
    <w:rsid w:val="00E3643B"/>
    <w:rsid w:val="00E57BE0"/>
    <w:rsid w:val="00EB1CF2"/>
    <w:rsid w:val="00EB21F9"/>
    <w:rsid w:val="00ED3C91"/>
    <w:rsid w:val="00EF2026"/>
    <w:rsid w:val="00EF6D5E"/>
    <w:rsid w:val="00EF744D"/>
    <w:rsid w:val="00F270F5"/>
    <w:rsid w:val="00F27185"/>
    <w:rsid w:val="00F44A9D"/>
    <w:rsid w:val="00F46F50"/>
    <w:rsid w:val="00F81208"/>
    <w:rsid w:val="00F81522"/>
    <w:rsid w:val="00FA2C29"/>
    <w:rsid w:val="00FA4FA8"/>
    <w:rsid w:val="00FA67DC"/>
    <w:rsid w:val="00FB6970"/>
    <w:rsid w:val="00FC145F"/>
    <w:rsid w:val="00FE401B"/>
    <w:rsid w:val="00FE47A3"/>
    <w:rsid w:val="00FF005C"/>
    <w:rsid w:val="30E828BF"/>
    <w:rsid w:val="4D054CAA"/>
    <w:rsid w:val="59C90EDB"/>
    <w:rsid w:val="5AE119A8"/>
    <w:rsid w:val="68565D6F"/>
    <w:rsid w:val="70BB0211"/>
    <w:rsid w:val="7AEF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bs-Latn-B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nhideWhenUsed="0" w:uiPriority="99" w:semiHidden="0" w:name="heading 2" w:locked="1"/>
    <w:lsdException w:qFormat="1" w:unhideWhenUsed="0" w:uiPriority="99" w:semiHidden="0" w:name="heading 3" w:locked="1"/>
    <w:lsdException w:qFormat="1" w:unhideWhenUsed="0" w:uiPriority="99" w:semiHidden="0" w:name="heading 4" w:locked="1"/>
    <w:lsdException w:qFormat="1" w:unhideWhenUsed="0" w:uiPriority="99" w:semiHidden="0" w:name="heading 5" w:locked="1"/>
    <w:lsdException w:qFormat="1" w:unhideWhenUsed="0" w:uiPriority="99" w:semiHidden="0" w:name="heading 6" w:locked="1"/>
    <w:lsdException w:qFormat="1" w:unhideWhenUsed="0" w:uiPriority="99" w:semiHidden="0" w:name="heading 7" w:locked="1"/>
    <w:lsdException w:qFormat="1" w:unhideWhenUsed="0" w:uiPriority="99" w:semiHidden="0" w:name="heading 8" w:locked="1"/>
    <w:lsdException w:qFormat="1" w:unhideWhenUsed="0" w:uiPriority="99" w:semiHidden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0" w:semiHidden="0" w:name="toc 1" w:locked="1"/>
    <w:lsdException w:uiPriority="0" w:semiHidden="0" w:name="toc 2" w:locked="1"/>
    <w:lsdException w:uiPriority="0" w:semiHidden="0" w:name="toc 3" w:locked="1"/>
    <w:lsdException w:uiPriority="0" w:semiHidden="0" w:name="toc 4" w:locked="1"/>
    <w:lsdException w:uiPriority="0" w:semiHidden="0" w:name="toc 5" w:locked="1"/>
    <w:lsdException w:uiPriority="0" w:semiHidden="0" w:name="toc 6" w:locked="1"/>
    <w:lsdException w:uiPriority="0" w:semiHidden="0" w:name="toc 7" w:locked="1"/>
    <w:lsdException w:uiPriority="0" w:semiHidden="0" w:name="toc 8" w:locked="1"/>
    <w:lsdException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bs-Latn-BA" w:eastAsia="en-US" w:bidi="ar-SA"/>
    </w:rPr>
  </w:style>
  <w:style w:type="paragraph" w:styleId="2">
    <w:name w:val="heading 1"/>
    <w:basedOn w:val="1"/>
    <w:next w:val="1"/>
    <w:link w:val="31"/>
    <w:qFormat/>
    <w:locked/>
    <w:uiPriority w:val="99"/>
    <w:pPr>
      <w:keepNext/>
      <w:numPr>
        <w:ilvl w:val="0"/>
        <w:numId w:val="1"/>
      </w:numPr>
      <w:spacing w:before="240" w:after="60" w:line="240" w:lineRule="auto"/>
      <w:jc w:val="both"/>
      <w:outlineLvl w:val="0"/>
    </w:pPr>
    <w:rPr>
      <w:rFonts w:ascii="Arial" w:hAnsi="Arial" w:cs="Arial"/>
      <w:b/>
      <w:bCs/>
      <w:kern w:val="32"/>
      <w:sz w:val="24"/>
      <w:szCs w:val="32"/>
      <w:lang w:val="en-US"/>
    </w:rPr>
  </w:style>
  <w:style w:type="paragraph" w:styleId="3">
    <w:name w:val="heading 2"/>
    <w:basedOn w:val="1"/>
    <w:next w:val="1"/>
    <w:link w:val="20"/>
    <w:qFormat/>
    <w:locked/>
    <w:uiPriority w:val="99"/>
    <w:pPr>
      <w:keepNext/>
      <w:numPr>
        <w:ilvl w:val="1"/>
        <w:numId w:val="1"/>
      </w:numPr>
      <w:spacing w:before="240" w:after="60" w:line="240" w:lineRule="auto"/>
      <w:jc w:val="both"/>
      <w:outlineLvl w:val="1"/>
    </w:pPr>
    <w:rPr>
      <w:rFonts w:ascii="Arial" w:hAnsi="Arial" w:cs="Arial"/>
      <w:b/>
      <w:bCs/>
      <w:i/>
      <w:iCs/>
      <w:sz w:val="28"/>
      <w:szCs w:val="28"/>
      <w:lang w:val="en-US"/>
    </w:rPr>
  </w:style>
  <w:style w:type="paragraph" w:styleId="4">
    <w:name w:val="heading 3"/>
    <w:basedOn w:val="1"/>
    <w:next w:val="1"/>
    <w:link w:val="21"/>
    <w:qFormat/>
    <w:locked/>
    <w:uiPriority w:val="99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5">
    <w:name w:val="heading 4"/>
    <w:basedOn w:val="1"/>
    <w:next w:val="1"/>
    <w:link w:val="22"/>
    <w:qFormat/>
    <w:locked/>
    <w:uiPriority w:val="99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hAnsi="Times New Roman"/>
      <w:sz w:val="32"/>
      <w:szCs w:val="24"/>
      <w:lang w:val="sr-Latn-CS"/>
    </w:rPr>
  </w:style>
  <w:style w:type="paragraph" w:styleId="6">
    <w:name w:val="heading 5"/>
    <w:basedOn w:val="1"/>
    <w:next w:val="1"/>
    <w:link w:val="23"/>
    <w:qFormat/>
    <w:locked/>
    <w:uiPriority w:val="99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Times New Roman" w:hAnsi="Times New Roman"/>
      <w:b/>
      <w:bCs/>
      <w:i/>
      <w:iCs/>
      <w:sz w:val="26"/>
      <w:szCs w:val="26"/>
      <w:lang w:val="en-US"/>
    </w:rPr>
  </w:style>
  <w:style w:type="paragraph" w:styleId="7">
    <w:name w:val="heading 6"/>
    <w:basedOn w:val="1"/>
    <w:next w:val="1"/>
    <w:link w:val="24"/>
    <w:qFormat/>
    <w:locked/>
    <w:uiPriority w:val="99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hAnsi="Times New Roman"/>
      <w:b/>
      <w:bCs/>
      <w:lang w:val="en-US"/>
    </w:rPr>
  </w:style>
  <w:style w:type="paragraph" w:styleId="8">
    <w:name w:val="heading 7"/>
    <w:basedOn w:val="1"/>
    <w:next w:val="1"/>
    <w:link w:val="25"/>
    <w:qFormat/>
    <w:locked/>
    <w:uiPriority w:val="99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hAnsi="Times New Roman"/>
      <w:sz w:val="24"/>
      <w:szCs w:val="24"/>
      <w:lang w:val="en-US"/>
    </w:rPr>
  </w:style>
  <w:style w:type="paragraph" w:styleId="9">
    <w:name w:val="heading 8"/>
    <w:basedOn w:val="1"/>
    <w:next w:val="1"/>
    <w:link w:val="26"/>
    <w:qFormat/>
    <w:locked/>
    <w:uiPriority w:val="99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hAnsi="Times New Roman"/>
      <w:i/>
      <w:iCs/>
      <w:sz w:val="24"/>
      <w:szCs w:val="24"/>
      <w:lang w:val="en-US"/>
    </w:rPr>
  </w:style>
  <w:style w:type="paragraph" w:styleId="10">
    <w:name w:val="heading 9"/>
    <w:basedOn w:val="1"/>
    <w:next w:val="1"/>
    <w:link w:val="27"/>
    <w:qFormat/>
    <w:locked/>
    <w:uiPriority w:val="99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 w:cs="Arial"/>
      <w:lang w:val="en-US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link w:val="28"/>
    <w:semiHidden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14">
    <w:name w:val="Emphasis"/>
    <w:basedOn w:val="11"/>
    <w:qFormat/>
    <w:locked/>
    <w:uiPriority w:val="0"/>
    <w:rPr>
      <w:i/>
      <w:iCs/>
    </w:rPr>
  </w:style>
  <w:style w:type="paragraph" w:styleId="15">
    <w:name w:val="footer"/>
    <w:basedOn w:val="1"/>
    <w:link w:val="30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16">
    <w:name w:val="header"/>
    <w:basedOn w:val="1"/>
    <w:link w:val="29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17">
    <w:name w:val="Hyperlink"/>
    <w:basedOn w:val="11"/>
    <w:unhideWhenUsed/>
    <w:uiPriority w:val="99"/>
    <w:rPr>
      <w:color w:val="0000FF"/>
      <w:u w:val="single"/>
    </w:rPr>
  </w:style>
  <w:style w:type="table" w:styleId="18">
    <w:name w:val="Table Grid"/>
    <w:basedOn w:val="12"/>
    <w:locked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Heading 1 Char"/>
    <w:basedOn w:val="11"/>
    <w:uiPriority w:val="9"/>
    <w:rPr>
      <w:rFonts w:ascii="Cambria" w:hAnsi="Cambria" w:eastAsia="Times New Roman" w:cs="Times New Roman"/>
      <w:b/>
      <w:bCs/>
      <w:kern w:val="32"/>
      <w:sz w:val="32"/>
      <w:szCs w:val="32"/>
      <w:lang w:val="bs-Latn-BA" w:eastAsia="en-US"/>
    </w:rPr>
  </w:style>
  <w:style w:type="character" w:customStyle="1" w:styleId="20">
    <w:name w:val="Heading 2 Char"/>
    <w:basedOn w:val="11"/>
    <w:link w:val="3"/>
    <w:semiHidden/>
    <w:uiPriority w:val="9"/>
    <w:rPr>
      <w:rFonts w:ascii="Cambria" w:hAnsi="Cambria" w:eastAsia="Times New Roman" w:cs="Times New Roman"/>
      <w:b/>
      <w:bCs/>
      <w:i/>
      <w:iCs/>
      <w:sz w:val="28"/>
      <w:szCs w:val="28"/>
      <w:lang w:val="bs-Latn-BA" w:eastAsia="en-US"/>
    </w:rPr>
  </w:style>
  <w:style w:type="character" w:customStyle="1" w:styleId="21">
    <w:name w:val="Heading 3 Char"/>
    <w:basedOn w:val="11"/>
    <w:link w:val="4"/>
    <w:semiHidden/>
    <w:uiPriority w:val="9"/>
    <w:rPr>
      <w:rFonts w:ascii="Cambria" w:hAnsi="Cambria" w:eastAsia="Times New Roman" w:cs="Times New Roman"/>
      <w:b/>
      <w:bCs/>
      <w:sz w:val="26"/>
      <w:szCs w:val="26"/>
      <w:lang w:val="bs-Latn-BA" w:eastAsia="en-US"/>
    </w:rPr>
  </w:style>
  <w:style w:type="character" w:customStyle="1" w:styleId="22">
    <w:name w:val="Heading 4 Char"/>
    <w:basedOn w:val="11"/>
    <w:link w:val="5"/>
    <w:semiHidden/>
    <w:uiPriority w:val="9"/>
    <w:rPr>
      <w:rFonts w:ascii="Calibri" w:hAnsi="Calibri" w:eastAsia="Times New Roman" w:cs="Times New Roman"/>
      <w:b/>
      <w:bCs/>
      <w:sz w:val="28"/>
      <w:szCs w:val="28"/>
      <w:lang w:val="bs-Latn-BA" w:eastAsia="en-US"/>
    </w:rPr>
  </w:style>
  <w:style w:type="character" w:customStyle="1" w:styleId="23">
    <w:name w:val="Heading 5 Char"/>
    <w:basedOn w:val="11"/>
    <w:link w:val="6"/>
    <w:semiHidden/>
    <w:uiPriority w:val="9"/>
    <w:rPr>
      <w:rFonts w:ascii="Calibri" w:hAnsi="Calibri" w:eastAsia="Times New Roman" w:cs="Times New Roman"/>
      <w:b/>
      <w:bCs/>
      <w:i/>
      <w:iCs/>
      <w:sz w:val="26"/>
      <w:szCs w:val="26"/>
      <w:lang w:val="bs-Latn-BA" w:eastAsia="en-US"/>
    </w:rPr>
  </w:style>
  <w:style w:type="character" w:customStyle="1" w:styleId="24">
    <w:name w:val="Heading 6 Char"/>
    <w:basedOn w:val="11"/>
    <w:link w:val="7"/>
    <w:semiHidden/>
    <w:uiPriority w:val="9"/>
    <w:rPr>
      <w:rFonts w:ascii="Calibri" w:hAnsi="Calibri" w:eastAsia="Times New Roman" w:cs="Times New Roman"/>
      <w:b/>
      <w:bCs/>
      <w:lang w:val="bs-Latn-BA" w:eastAsia="en-US"/>
    </w:rPr>
  </w:style>
  <w:style w:type="character" w:customStyle="1" w:styleId="25">
    <w:name w:val="Heading 7 Char"/>
    <w:basedOn w:val="11"/>
    <w:link w:val="8"/>
    <w:semiHidden/>
    <w:uiPriority w:val="9"/>
    <w:rPr>
      <w:rFonts w:ascii="Calibri" w:hAnsi="Calibri" w:eastAsia="Times New Roman" w:cs="Times New Roman"/>
      <w:sz w:val="24"/>
      <w:szCs w:val="24"/>
      <w:lang w:val="bs-Latn-BA" w:eastAsia="en-US"/>
    </w:rPr>
  </w:style>
  <w:style w:type="character" w:customStyle="1" w:styleId="26">
    <w:name w:val="Heading 8 Char"/>
    <w:basedOn w:val="11"/>
    <w:link w:val="9"/>
    <w:semiHidden/>
    <w:uiPriority w:val="9"/>
    <w:rPr>
      <w:rFonts w:ascii="Calibri" w:hAnsi="Calibri" w:eastAsia="Times New Roman" w:cs="Times New Roman"/>
      <w:i/>
      <w:iCs/>
      <w:sz w:val="24"/>
      <w:szCs w:val="24"/>
      <w:lang w:val="bs-Latn-BA" w:eastAsia="en-US"/>
    </w:rPr>
  </w:style>
  <w:style w:type="character" w:customStyle="1" w:styleId="27">
    <w:name w:val="Heading 9 Char"/>
    <w:basedOn w:val="11"/>
    <w:link w:val="10"/>
    <w:semiHidden/>
    <w:uiPriority w:val="9"/>
    <w:rPr>
      <w:rFonts w:ascii="Cambria" w:hAnsi="Cambria" w:eastAsia="Times New Roman" w:cs="Times New Roman"/>
      <w:lang w:val="bs-Latn-BA" w:eastAsia="en-US"/>
    </w:rPr>
  </w:style>
  <w:style w:type="character" w:customStyle="1" w:styleId="28">
    <w:name w:val="Balloon Text Char"/>
    <w:basedOn w:val="11"/>
    <w:link w:val="13"/>
    <w:semiHidden/>
    <w:locked/>
    <w:uiPriority w:val="99"/>
    <w:rPr>
      <w:rFonts w:ascii="Tahoma" w:hAnsi="Tahoma" w:cs="Tahoma"/>
      <w:sz w:val="16"/>
      <w:szCs w:val="16"/>
    </w:rPr>
  </w:style>
  <w:style w:type="character" w:customStyle="1" w:styleId="29">
    <w:name w:val="Header Char"/>
    <w:basedOn w:val="11"/>
    <w:link w:val="16"/>
    <w:locked/>
    <w:uiPriority w:val="99"/>
    <w:rPr>
      <w:rFonts w:cs="Times New Roman"/>
    </w:rPr>
  </w:style>
  <w:style w:type="character" w:customStyle="1" w:styleId="30">
    <w:name w:val="Footer Char"/>
    <w:basedOn w:val="11"/>
    <w:link w:val="15"/>
    <w:locked/>
    <w:uiPriority w:val="99"/>
    <w:rPr>
      <w:rFonts w:cs="Times New Roman"/>
    </w:rPr>
  </w:style>
  <w:style w:type="character" w:customStyle="1" w:styleId="31">
    <w:name w:val="Heading 1 Char1"/>
    <w:basedOn w:val="11"/>
    <w:link w:val="2"/>
    <w:locked/>
    <w:uiPriority w:val="99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32">
    <w:name w:val="Tekst"/>
    <w:basedOn w:val="1"/>
    <w:link w:val="33"/>
    <w:qFormat/>
    <w:uiPriority w:val="0"/>
    <w:pPr>
      <w:spacing w:after="120"/>
      <w:ind w:firstLine="706"/>
      <w:jc w:val="both"/>
    </w:pPr>
    <w:rPr>
      <w:rFonts w:ascii="Arial" w:hAnsi="Arial"/>
      <w:sz w:val="24"/>
    </w:rPr>
  </w:style>
  <w:style w:type="character" w:customStyle="1" w:styleId="33">
    <w:name w:val="Tekst Char"/>
    <w:basedOn w:val="11"/>
    <w:link w:val="32"/>
    <w:uiPriority w:val="0"/>
    <w:rPr>
      <w:rFonts w:ascii="Arial" w:hAnsi="Arial"/>
      <w:sz w:val="24"/>
      <w:szCs w:val="22"/>
      <w:lang w:val="bs-Latn-BA"/>
    </w:rPr>
  </w:style>
  <w:style w:type="character" w:styleId="34">
    <w:name w:val="Placeholder Text"/>
    <w:basedOn w:val="11"/>
    <w:semiHidden/>
    <w:uiPriority w:val="99"/>
    <w:rPr>
      <w:color w:val="808080"/>
    </w:rPr>
  </w:style>
  <w:style w:type="character" w:customStyle="1" w:styleId="35">
    <w:name w:val="Style4"/>
    <w:basedOn w:val="11"/>
    <w:uiPriority w:val="1"/>
    <w:rPr>
      <w:rFonts w:hint="default" w:ascii="Arial" w:hAnsi="Arial" w:cs="Arial"/>
      <w:sz w:val="22"/>
    </w:rPr>
  </w:style>
  <w:style w:type="character" w:customStyle="1" w:styleId="36">
    <w:name w:val="Style1"/>
    <w:basedOn w:val="11"/>
    <w:uiPriority w:val="1"/>
    <w:rPr>
      <w:rFonts w:hint="default" w:ascii="Arial" w:hAnsi="Arial" w:cs="Arial"/>
      <w:b/>
      <w:sz w:val="24"/>
    </w:rPr>
  </w:style>
  <w:style w:type="character" w:customStyle="1" w:styleId="37">
    <w:name w:val="Style2"/>
    <w:basedOn w:val="11"/>
    <w:uiPriority w:val="1"/>
    <w:rPr>
      <w:rFonts w:hint="default" w:ascii="Arial" w:hAnsi="Arial" w:cs="Arial"/>
      <w:sz w:val="22"/>
    </w:rPr>
  </w:style>
  <w:style w:type="character" w:customStyle="1" w:styleId="38">
    <w:name w:val="Style3"/>
    <w:basedOn w:val="11"/>
    <w:uiPriority w:val="1"/>
    <w:rPr>
      <w:rFonts w:ascii="Arial" w:hAnsi="Arial"/>
      <w:sz w:val="22"/>
    </w:rPr>
  </w:style>
  <w:style w:type="character" w:customStyle="1" w:styleId="39">
    <w:name w:val="Style5"/>
    <w:basedOn w:val="11"/>
    <w:uiPriority w:val="1"/>
    <w:rPr>
      <w:rFonts w:ascii="Arial" w:hAnsi="Arial"/>
      <w:sz w:val="22"/>
    </w:rPr>
  </w:style>
  <w:style w:type="paragraph" w:styleId="40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DEEA\Desktop\memorandum\AN_IDDEE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DCA35-A45E-4282-838D-816E0CCEEC6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AN_IDDEEA</Template>
  <Company>Hewlett-Packard Company</Company>
  <Pages>8</Pages>
  <Words>2451</Words>
  <Characters>13971</Characters>
  <Lines>116</Lines>
  <Paragraphs>32</Paragraphs>
  <TotalTime>26</TotalTime>
  <ScaleCrop>false</ScaleCrop>
  <LinksUpToDate>false</LinksUpToDate>
  <CharactersWithSpaces>16390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2024-02-15T09:10:00Z</dcterms:created>
  <dc:creator>IDDEEA</dc:creator>
  <cp:lastModifiedBy>draze</cp:lastModifiedBy>
  <cp:lastPrinted>2009-12-30T09:19:00Z</cp:lastPrinted>
  <dcterms:modified xsi:type="dcterms:W3CDTF">2024-02-15T09:39:04Z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0A2D350AB3CA4088B487B1CC6036B6DE_13</vt:lpwstr>
  </property>
</Properties>
</file>